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i w:val="0"/>
          <w:iCs/>
          <w:szCs w:val="22"/>
        </w:rPr>
      </w:pPr>
      <w:r>
        <w:rPr>
          <w:i w:val="0"/>
          <w:iCs/>
          <w:szCs w:val="22"/>
        </w:rPr>
        <w:t xml:space="preserve">ТЕХНИЧЕСКОЕ ЗАДАНИЕ </w:t>
      </w:r>
    </w:p>
    <w:p>
      <w:pPr>
        <w:jc w:val="center"/>
        <w:rPr>
          <w:b/>
          <w:szCs w:val="22"/>
        </w:rPr>
      </w:pPr>
    </w:p>
    <w:p>
      <w:pPr>
        <w:rPr>
          <w:spacing w:val="1"/>
          <w:szCs w:val="22"/>
        </w:rPr>
      </w:pPr>
      <w:r>
        <w:rPr>
          <w:b/>
          <w:iCs/>
          <w:szCs w:val="22"/>
        </w:rPr>
        <w:t xml:space="preserve">Наименование аукциона: </w:t>
      </w:r>
      <w:r>
        <w:rPr>
          <w:iCs/>
          <w:szCs w:val="22"/>
          <w:lang w:val="ru-RU"/>
        </w:rPr>
        <w:t>в</w:t>
      </w:r>
      <w:bookmarkStart w:id="1" w:name="_GoBack"/>
      <w:bookmarkEnd w:id="1"/>
      <w:r>
        <w:rPr>
          <w:iCs/>
          <w:szCs w:val="22"/>
        </w:rPr>
        <w:t>ыполнение работ по т</w:t>
      </w:r>
      <w:r>
        <w:rPr>
          <w:szCs w:val="22"/>
        </w:rPr>
        <w:t>екущему ремонту фасада здания</w:t>
      </w:r>
    </w:p>
    <w:p>
      <w:pPr>
        <w:rPr>
          <w:szCs w:val="22"/>
        </w:rPr>
      </w:pPr>
      <w:bookmarkStart w:id="0" w:name="_ЧАСТЬ_III__ТЕХНИЧЕСКАЯ_ЧАСТЬ"/>
      <w:bookmarkEnd w:id="0"/>
    </w:p>
    <w:p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  <w:szCs w:val="22"/>
        </w:rPr>
      </w:pPr>
      <w:r>
        <w:rPr>
          <w:b/>
          <w:szCs w:val="22"/>
        </w:rPr>
        <w:t>Наименование выполняемых работ:</w:t>
      </w:r>
      <w:r>
        <w:rPr>
          <w:szCs w:val="22"/>
        </w:rPr>
        <w:t xml:space="preserve"> выполнение работ по текущему ремонту фасада здания.</w:t>
      </w:r>
    </w:p>
    <w:p>
      <w:pPr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Cs w:val="22"/>
        </w:rPr>
      </w:pPr>
      <w:r>
        <w:rPr>
          <w:b/>
          <w:szCs w:val="22"/>
        </w:rPr>
        <w:t xml:space="preserve">Сроки выполнения работ: </w:t>
      </w:r>
      <w:r>
        <w:rPr>
          <w:bCs/>
          <w:szCs w:val="22"/>
        </w:rPr>
        <w:t>с момента заключения муниципального контракта в течение 30 календарных дней.</w:t>
      </w:r>
    </w:p>
    <w:p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284"/>
          <w:tab w:val="left" w:pos="9921"/>
        </w:tabs>
        <w:suppressAutoHyphens/>
        <w:ind w:left="0" w:firstLine="0"/>
        <w:jc w:val="both"/>
        <w:rPr>
          <w:szCs w:val="22"/>
        </w:rPr>
      </w:pPr>
      <w:r>
        <w:rPr>
          <w:b/>
          <w:bCs/>
          <w:szCs w:val="22"/>
        </w:rPr>
        <w:t>Место выполнения работ:</w:t>
      </w:r>
      <w:r>
        <w:rPr>
          <w:szCs w:val="22"/>
        </w:rPr>
        <w:t xml:space="preserve"> Свердловская обл., г. Краснотурьинск, ул. Кирова, 24.</w:t>
      </w:r>
    </w:p>
    <w:p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284"/>
        </w:tabs>
        <w:suppressAutoHyphens/>
        <w:ind w:left="0" w:firstLine="0"/>
        <w:jc w:val="both"/>
        <w:rPr>
          <w:szCs w:val="22"/>
        </w:rPr>
      </w:pPr>
      <w:r>
        <w:rPr>
          <w:b/>
          <w:bCs/>
          <w:szCs w:val="22"/>
        </w:rPr>
        <w:t>Источник финансирования:</w:t>
      </w:r>
      <w:r>
        <w:rPr>
          <w:bCs/>
          <w:szCs w:val="22"/>
        </w:rPr>
        <w:t xml:space="preserve"> бюджет городского округа Краснотурьинск.</w:t>
      </w:r>
    </w:p>
    <w:p>
      <w:pPr>
        <w:pStyle w:val="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/>
          <w:sz w:val="22"/>
          <w:szCs w:val="22"/>
        </w:rPr>
      </w:pPr>
      <w:r>
        <w:rPr>
          <w:sz w:val="22"/>
          <w:szCs w:val="22"/>
        </w:rPr>
        <w:t>Форма, сроки и порядок оплаты работ:</w:t>
      </w:r>
      <w:r>
        <w:rPr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Оплата осуществляется по безналичному расчету, по факту выполнения работ, в течение 15-ти рабочих дней с даты подписания Заказчиком актов выполненных работ, на основании предъявленных счетов, счетов-фактур, в пределах утвержденных бюджетных ассигнований и выделенных лимитов бюджетных обязательств. </w:t>
      </w:r>
    </w:p>
    <w:p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Cs w:val="22"/>
        </w:rPr>
      </w:pPr>
      <w:r>
        <w:rPr>
          <w:b/>
          <w:szCs w:val="22"/>
        </w:rPr>
        <w:t xml:space="preserve">ОКПД2 (КТРУ): </w:t>
      </w:r>
      <w:r>
        <w:rPr>
          <w:b/>
          <w:iCs/>
          <w:szCs w:val="22"/>
        </w:rPr>
        <w:t>43.39.19.190</w:t>
      </w:r>
      <w:r>
        <w:rPr>
          <w:rStyle w:val="7"/>
          <w:rFonts w:cs="Arial"/>
          <w:bCs/>
          <w:szCs w:val="22"/>
        </w:rPr>
        <w:t xml:space="preserve"> </w:t>
      </w:r>
      <w:r>
        <w:rPr>
          <w:bCs/>
          <w:iCs/>
          <w:szCs w:val="22"/>
        </w:rPr>
        <w:t xml:space="preserve">- </w:t>
      </w:r>
      <w:r>
        <w:rPr>
          <w:szCs w:val="22"/>
          <w:shd w:val="clear" w:color="auto" w:fill="FFFFFF"/>
        </w:rPr>
        <w:t>Работы завершающие и отделочные в зданиях и сооружениях, прочие, не включенные в другие группировки.</w:t>
      </w:r>
    </w:p>
    <w:p>
      <w:pPr>
        <w:pStyle w:val="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Liberation Serif" w:hAnsi="Liberation Serif" w:eastAsia="MS Mincho" w:cs="Times New Roman"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Виды и к</w:t>
      </w:r>
      <w:r>
        <w:rPr>
          <w:rFonts w:ascii="Liberation Serif" w:hAnsi="Liberation Serif" w:cs="Times New Roman"/>
          <w:b/>
          <w:bCs/>
          <w:sz w:val="22"/>
          <w:szCs w:val="22"/>
        </w:rPr>
        <w:t>оличество (объем) выполняемых работ</w:t>
      </w:r>
      <w:r>
        <w:rPr>
          <w:rFonts w:ascii="Liberation Serif" w:hAnsi="Liberation Serif" w:eastAsia="MS Mincho" w:cs="Times New Roman"/>
          <w:b/>
          <w:sz w:val="22"/>
          <w:szCs w:val="22"/>
        </w:rPr>
        <w:t xml:space="preserve">: </w:t>
      </w:r>
      <w:r>
        <w:rPr>
          <w:rFonts w:ascii="Liberation Serif" w:hAnsi="Liberation Serif" w:eastAsia="MS Mincho" w:cs="Times New Roman"/>
          <w:sz w:val="22"/>
          <w:szCs w:val="22"/>
        </w:rPr>
        <w:t xml:space="preserve">в соответствии </w:t>
      </w:r>
      <w:r>
        <w:rPr>
          <w:rFonts w:ascii="Liberation Serif" w:hAnsi="Liberation Serif" w:eastAsia="MS Mincho" w:cs="Times New Roman"/>
          <w:b/>
          <w:sz w:val="22"/>
          <w:szCs w:val="22"/>
        </w:rPr>
        <w:t xml:space="preserve">с локальным сметным расчетом </w:t>
      </w:r>
      <w:r>
        <w:rPr>
          <w:rFonts w:ascii="Liberation Serif" w:hAnsi="Liberation Serif" w:eastAsia="MS Mincho" w:cs="Times New Roman"/>
          <w:sz w:val="22"/>
          <w:szCs w:val="22"/>
        </w:rPr>
        <w:t xml:space="preserve">(Приложение №1 к Части 3 «Обоснование начальной (максимальной) цены контракта»): </w:t>
      </w:r>
    </w:p>
    <w:tbl>
      <w:tblPr>
        <w:tblStyle w:val="5"/>
        <w:tblW w:w="9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428"/>
        <w:gridCol w:w="196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№ п/п</w:t>
            </w:r>
          </w:p>
        </w:tc>
        <w:tc>
          <w:tcPr>
            <w:tcW w:w="5428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65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1</w:t>
            </w:r>
          </w:p>
        </w:tc>
        <w:tc>
          <w:tcPr>
            <w:tcW w:w="5428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Выполнение работ по текущему ремонту фасада здания</w:t>
            </w:r>
          </w:p>
        </w:tc>
        <w:tc>
          <w:tcPr>
            <w:tcW w:w="1965" w:type="dxa"/>
            <w:shd w:val="clear" w:color="auto" w:fill="auto"/>
            <w:vAlign w:val="top"/>
          </w:tcPr>
          <w:p>
            <w:pPr>
              <w:pStyle w:val="8"/>
              <w:ind w:firstLine="0"/>
              <w:jc w:val="both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 xml:space="preserve">       усл.ед</w:t>
            </w: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pStyle w:val="8"/>
              <w:ind w:firstLine="0"/>
              <w:jc w:val="center"/>
              <w:rPr>
                <w:rFonts w:ascii="Liberation Serif" w:hAnsi="Liberation Serif" w:eastAsia="MS Mincho" w:cs="Times New Roman"/>
                <w:sz w:val="22"/>
                <w:szCs w:val="22"/>
              </w:rPr>
            </w:pPr>
            <w:r>
              <w:rPr>
                <w:rFonts w:ascii="Liberation Serif" w:hAnsi="Liberation Serif" w:eastAsia="MS Mincho" w:cs="Times New Roman"/>
                <w:sz w:val="22"/>
                <w:szCs w:val="22"/>
              </w:rPr>
              <w:t>1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eastAsia="MS Mincho"/>
          <w:b/>
          <w:szCs w:val="22"/>
        </w:rPr>
      </w:pPr>
    </w:p>
    <w:p>
      <w:pPr>
        <w:numPr>
          <w:ilvl w:val="0"/>
          <w:numId w:val="2"/>
        </w:numPr>
        <w:tabs>
          <w:tab w:val="left" w:pos="284"/>
          <w:tab w:val="left" w:pos="360"/>
        </w:tabs>
        <w:ind w:left="284" w:hanging="284"/>
        <w:rPr>
          <w:b/>
          <w:szCs w:val="22"/>
        </w:rPr>
      </w:pPr>
      <w:r>
        <w:rPr>
          <w:b/>
          <w:szCs w:val="22"/>
        </w:rPr>
        <w:t>Условия и порядок выполнения работ:</w:t>
      </w:r>
    </w:p>
    <w:p>
      <w:pPr>
        <w:jc w:val="both"/>
        <w:rPr>
          <w:szCs w:val="22"/>
        </w:rPr>
      </w:pPr>
      <w:r>
        <w:rPr>
          <w:szCs w:val="22"/>
        </w:rPr>
        <w:t>8.1 Работы выполняются  Подрядчиком  собственными силами и средствами, с использованием собственных материалов и оборудования, в соответствии с условиями, указанными в документации электронного аукциона, в соответствии с описанием выполняемых работ.</w:t>
      </w:r>
    </w:p>
    <w:p>
      <w:pPr>
        <w:jc w:val="both"/>
        <w:rPr>
          <w:szCs w:val="22"/>
        </w:rPr>
      </w:pPr>
      <w:r>
        <w:rPr>
          <w:szCs w:val="22"/>
        </w:rPr>
        <w:t xml:space="preserve"> Работы выполняются в соответствии со строительными нормами, требованиями и правилами.  Во всех случаях, когда в настоящем техническом задании или в приложениях к нему имеются ссылки на конкретные стандарты и нормы, которым должны соответствовать поставляемые материалы, оборудование и другие товары, а также выполняемые работы и испытания,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</w:t>
      </w:r>
    </w:p>
    <w:p>
      <w:pPr>
        <w:jc w:val="both"/>
        <w:rPr>
          <w:szCs w:val="22"/>
        </w:rPr>
      </w:pPr>
      <w:r>
        <w:rPr>
          <w:szCs w:val="22"/>
        </w:rPr>
        <w:t>В случаях, когда применяются иные, нежели указанные в настоящем техническом задании, или в приложениях к нему, признанные стандарты, обеспечивающие в основном эквивалентные или более высокие требования, по сравнению с указанными стандартами и нормами, они будут приняты, при условии их рассмотрения и утверждения заказчиком.</w:t>
      </w:r>
    </w:p>
    <w:p>
      <w:pPr>
        <w:ind w:right="-53"/>
        <w:jc w:val="both"/>
        <w:rPr>
          <w:szCs w:val="22"/>
        </w:rPr>
      </w:pPr>
      <w:r>
        <w:rPr>
          <w:spacing w:val="-4"/>
          <w:szCs w:val="22"/>
        </w:rPr>
        <w:t xml:space="preserve">8.2. </w:t>
      </w:r>
      <w:r>
        <w:rPr>
          <w:szCs w:val="22"/>
        </w:rPr>
        <w:t xml:space="preserve">Сдача и приёмка работ производится в течение 5 (пяти) рабочих дней после получения Заказчиком письменного уведомления об окончании работы и оформляется двусторонним Актом о приёмке выполненных работ по форме КС-2 и Справкой о стоимости выполненных работ и затрат по форме КС-3 в 2 (двух) экземплярах, по одному для каждой Стороны. </w:t>
      </w:r>
    </w:p>
    <w:p>
      <w:pPr>
        <w:jc w:val="both"/>
        <w:outlineLvl w:val="0"/>
        <w:rPr>
          <w:szCs w:val="22"/>
          <w:u w:val="single"/>
        </w:rPr>
      </w:pPr>
      <w:r>
        <w:rPr>
          <w:szCs w:val="22"/>
        </w:rPr>
        <w:t xml:space="preserve">8.3. Мусор во время выполнения работ Подрядчик складирует в отведенном Заказчиком месте, по окончанию работ Подрядчик собственными силами и средствами вывозит весь мусор на Полигон или иное специальное отведенное место. </w:t>
      </w:r>
    </w:p>
    <w:p>
      <w:pPr>
        <w:pStyle w:val="3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Требования к качеству работ:</w:t>
      </w:r>
      <w:r>
        <w:rPr>
          <w:sz w:val="22"/>
          <w:szCs w:val="22"/>
        </w:rPr>
        <w:t xml:space="preserve"> Качество выполняемых работ должно соответствовать условиям контракта, </w:t>
      </w:r>
      <w:r>
        <w:rPr>
          <w:sz w:val="22"/>
          <w:szCs w:val="22"/>
          <w:lang w:val="ru-RU"/>
        </w:rPr>
        <w:t xml:space="preserve">требованиям </w:t>
      </w:r>
      <w:r>
        <w:rPr>
          <w:sz w:val="22"/>
          <w:szCs w:val="22"/>
        </w:rPr>
        <w:t>ГОСтов, СНиПов, национальных и технических регламентов, а также требований действующего законодательства Российской Федерации.</w:t>
      </w:r>
    </w:p>
    <w:p>
      <w:pPr>
        <w:pStyle w:val="3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0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Общие требования к выполнению работ: </w:t>
      </w:r>
      <w:r>
        <w:rPr>
          <w:sz w:val="22"/>
          <w:szCs w:val="22"/>
        </w:rPr>
        <w:t xml:space="preserve">Подрядчик выполняет работы в соответствии с муниципальным контрактом и настоящим </w:t>
      </w:r>
      <w:r>
        <w:rPr>
          <w:sz w:val="22"/>
          <w:szCs w:val="22"/>
          <w:lang w:val="ru-RU"/>
        </w:rPr>
        <w:t>описанием объекта закупки (</w:t>
      </w:r>
      <w:r>
        <w:rPr>
          <w:sz w:val="22"/>
          <w:szCs w:val="22"/>
        </w:rPr>
        <w:t>техническим заданием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.</w:t>
      </w:r>
    </w:p>
    <w:p>
      <w:pPr>
        <w:pStyle w:val="3"/>
        <w:tabs>
          <w:tab w:val="left" w:pos="567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Требования к безопасности выполнения работ и безопасности результатов работ:</w:t>
      </w:r>
      <w:r>
        <w:rPr>
          <w:sz w:val="22"/>
          <w:szCs w:val="22"/>
        </w:rPr>
        <w:t xml:space="preserve"> Подрядчик должен выполнять все требования закона и иных правовых актов по охране труда, санитарных норм и правил, техники безопасности, пожарной безопасности и охране окружающей среды, а также соблюдать иные требования к производству работ, предусмотренные действующим законодательством РФ. Ответственность за соблюдение противопожарных норм и техники безопасности несет Подрядчик.</w:t>
      </w:r>
    </w:p>
    <w:p>
      <w:pPr>
        <w:pStyle w:val="3"/>
        <w:tabs>
          <w:tab w:val="left" w:pos="567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12</w:t>
      </w:r>
      <w:r>
        <w:rPr>
          <w:b/>
          <w:sz w:val="22"/>
          <w:szCs w:val="22"/>
        </w:rPr>
        <w:t xml:space="preserve">. Порядок сдачи и приемки результатов работ: </w:t>
      </w:r>
      <w:r>
        <w:rPr>
          <w:sz w:val="22"/>
          <w:szCs w:val="22"/>
        </w:rPr>
        <w:t>Сдача и приёмка работ производится в течение 5 (пяти) рабочих дней после получения Заказчиком письменного уведомления об окончании работы и оформляется двусторонним Актом о приёмке выполненных работ по форме КС-2 и Справкой о стоимости выполненных работ и затрат по форме КС-3 в 2 (двух) экземплярах, по одному для каждой Стороны.</w:t>
      </w:r>
    </w:p>
    <w:p>
      <w:pPr>
        <w:pStyle w:val="3"/>
        <w:tabs>
          <w:tab w:val="left" w:pos="567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13.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Требования по сроку гарантий качества на результаты работ: </w:t>
      </w:r>
      <w:r>
        <w:rPr>
          <w:sz w:val="22"/>
          <w:szCs w:val="22"/>
        </w:rPr>
        <w:t xml:space="preserve">Гарантийный срок на выполненные работы составляет </w:t>
      </w:r>
      <w:r>
        <w:rPr>
          <w:sz w:val="22"/>
          <w:szCs w:val="22"/>
          <w:u w:val="single"/>
          <w:lang w:val="ru-RU"/>
        </w:rPr>
        <w:t xml:space="preserve"> 3 года </w:t>
      </w:r>
      <w:r>
        <w:rPr>
          <w:sz w:val="22"/>
          <w:szCs w:val="22"/>
        </w:rPr>
        <w:t>с момента подписания комиссионного акта приемки выполненных работ. Подрядчик принимает на себя обязательство устранять дефекты, возникшие в течение гарантийного срока в результате несоблюдения правил производства работ за счет собственных средств.</w:t>
      </w:r>
    </w:p>
    <w:p/>
    <w:sectPr>
      <w:pgSz w:w="11906" w:h="16838"/>
      <w:pgMar w:top="1440" w:right="1306" w:bottom="1440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3602"/>
    <w:multiLevelType w:val="multilevel"/>
    <w:tmpl w:val="5CAD360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360"/>
          </w:tabs>
          <w:ind w:left="360" w:hanging="360"/>
        </w:pPr>
        <w:rPr>
          <w:b/>
          <w:bCs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B1C"/>
    <w:rsid w:val="7DC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Liberation Serif" w:hAnsi="Liberation Serif" w:eastAsia="Times New Roman" w:cs="Times New Roman"/>
      <w:sz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jc w:val="center"/>
      <w:outlineLvl w:val="0"/>
    </w:pPr>
    <w:rPr>
      <w:b/>
      <w:i/>
      <w:kern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uiPriority w:val="0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6">
    <w:name w:val="variable"/>
    <w:basedOn w:val="1"/>
    <w:uiPriority w:val="0"/>
    <w:rPr>
      <w:b/>
      <w:sz w:val="24"/>
      <w:szCs w:val="24"/>
    </w:rPr>
  </w:style>
  <w:style w:type="character" w:customStyle="1" w:styleId="7">
    <w:name w:val="okpd_span"/>
    <w:basedOn w:val="4"/>
    <w:uiPriority w:val="0"/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2021-06-04T06:11:00Z</dcterms:created>
  <dc:creator>odayn</dc:creator>
  <cp:lastModifiedBy>odayn</cp:lastModifiedBy>
  <dcterms:modified xsi:type="dcterms:W3CDTF">2021-06-04T06:12:18Z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