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6960"/>
        </w:tabs>
        <w:ind w:left="0" w:leftChars="0" w:firstLine="785" w:firstLineChars="436"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ru-RU"/>
        </w:rPr>
        <w:t>ТЕХНИЧЕСКОЕ ЗАДАНИЕ</w:t>
      </w:r>
      <w:bookmarkStart w:id="1" w:name="_GoBack"/>
      <w:bookmarkEnd w:id="1"/>
    </w:p>
    <w:p>
      <w:pPr>
        <w:pStyle w:val="4"/>
        <w:tabs>
          <w:tab w:val="left" w:pos="6960"/>
        </w:tabs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tbl>
      <w:tblPr>
        <w:tblStyle w:val="3"/>
        <w:tblW w:w="10361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420"/>
        <w:gridCol w:w="1896"/>
        <w:gridCol w:w="1754"/>
        <w:gridCol w:w="1648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bookmarkStart w:id="0" w:name="RANGE!A1:F87"/>
            <w:bookmarkEnd w:id="0"/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ВЕДОМОСТЬ ОБЪЕМА РАБОТ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1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6960"/>
              </w:tabs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коробок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Снятие дверных полотен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дверных полотен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Снятие наличников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 наличников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Разборка покрытий полов из древесноволокнистых плит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покрытия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Разборка плинтусов деревянных и из пластмассовых материалов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 плинтуса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Демонтаж умывальников и раковин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приборов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Демонтаж смывных бачков фаянсовых на унитазе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приборов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Демонтаж унитазов и писсуаров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приборов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Демонтаж ванн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приборов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Демонтаж скрытой электропроводки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Демонтаж выключателей, розеток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Снятие обоев простых и улучшенных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очищаемой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металлических дверных блоков в готовые проемы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проема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Дверь противопожарная металлическая: однопольная ДПМ-01/60, размером 1000х2100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Улучшенная масляная окраска ранее окрашенных полов за один раз с расчисткой старой краски более 35%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Устройство стяжек цементных толщиной 20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стяжки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стяжки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Улучшенная масляная окраска ранее окрашенных полов за два раза с расчисткой старой краски более 35%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штукатурки внутренних стен по камню и бетону цементно-известковым раствором, площадью отдельных мест более 10 м2 толщиной слоя до 20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отремонтированной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Сплошное выравнивание штукатурки внутри здания (однослойная штукатурка) сухой растворной смесью (типа «Ветонит») толщиной до 10 мм для последующей окраски или оклейки обоями стен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Окрашивание водоэмульсионными составами поверхностей потолков, ранее окрашенных водоэмульсионной краской, с расчисткой старой краски до 10%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Простая масляная окраска ранее окрашенных стен с подготовкой и расчисткой старой краски до 35%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до 10%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 плинтуса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унитазов с бачком непосредственно присоединенным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Унитаз-компакт «Комфорт»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Унитаз-компакт «Комфорт»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ванн купальных прямых чугунных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Ванны купальные чугунные эмалированные модернизированные с уравнителем электрических потенциалов латунным выпуском, чугунным сифоном и переливом, со стальным трубопроводом без смесителя, марка ВЧМ-1700, размер 1700х750х607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Ванны купальные чугунные эмалированные модернизированные с уравнителем электрических потенциалов латунным выпуском, чугунным сифоном и переливом, со стальным трубопроводом: без смесителя, марка ВЧМ-1700, размер 1700х750х607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умывальников одиночных с подводкой холодной и горячей 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Умывальники полуфарфоровые и фарфоровые с кронштейнами, сифоном бутылочным латунным и выпуском, овальные со скрытыми установочными поверхностями без спинки размером 550х480х150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Умывальники полуфарфоровые и фарфоровые с кронштейнами, сифоном бутылочным латунным и выпуском: овальные со скрытыми установочными поверхностями без спинки размером 550х480х150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раковин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Раковины стальные эмалированные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Раковины стальные эмалированные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полотенцесушителей из водогазопроводных труб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Полотенцесушители с креплениями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Полотенцесушители: с креплениями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смесителей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Смеситель латунный с гальванопокрытием для мойки настольный, с верхней камерой смешения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Смесители для ванн: СМ-В-ШТ с душевой сеткой на гибком шланге, с кнопочным переключателем, с латунными маховичками, штангой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Смеситель латунный с гальванопокрытием для мойки настольный, с верхней камерой смешения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нагревателей индивидуальных водоводяных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Нагреватель индивидуальный водоводяной наружный диаметр корпуса 273 мм, длина 1,25 (со змеевиком диаметром 25х2 мм длиной 19,2 м, число витков 30), поверхность нагрева 1,6 м2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Нагреватель индивидуальный: водоводяной наружный диаметр корпуса 273 мм, длина 1,25 (со змеевиком диаметром 25х2 мм длиной 19,2 м, число витков 30), поверхность нагрева 1,6 м2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компл.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 трубопровода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 трубопровода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одностворчатых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проемов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блоков из ПВХ в наружных и внутренних дверных проемах балконных в каменных стенах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проемов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п. м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покрытия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облицовки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штукатурки внутренних стен по камню и бетону цементно-известковым раствором, площадью отдельных мест более 10 м2 толщиной слоя до 20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отремонтированной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отремонтированной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Окраска масляными составами ранее окрашенных поверхностей радиаторов и ребристых труб отопления за 1 раз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Окрашивание водоэмульсионными составами поверхностей потолков, ранее окрашенных известковой или клеевой краской, с расчисткой старой краски более 35%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покрытия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Грунтовка: «Тифенгрунд», КНАУФ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кг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до 10%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Выключатель одноклавишный неутопленного типа при открытой проводке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Розетка штепсельная неутопленного типа при открытой проводке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Короба пластмассовые шириной до 40 мм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Провод в коробах, сечением до 6 мм2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Демонтаж сифонов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приборов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Простая масляная окраска ранее окрашенных дверей без подготовки с расчисткой старой краски до 10%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6960"/>
              </w:tabs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>
      <w:pPr>
        <w:tabs>
          <w:tab w:val="left" w:pos="6960"/>
        </w:tabs>
        <w:jc w:val="center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pStyle w:val="5"/>
        <w:widowControl w:val="0"/>
        <w:numPr>
          <w:ilvl w:val="0"/>
          <w:numId w:val="1"/>
        </w:numPr>
        <w:tabs>
          <w:tab w:val="left" w:pos="6960"/>
        </w:tabs>
        <w:spacing w:after="0"/>
        <w:jc w:val="both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Общие требования, предъявляемые к выполняемым работам</w:t>
      </w:r>
    </w:p>
    <w:p>
      <w:pPr>
        <w:pStyle w:val="5"/>
        <w:widowControl w:val="0"/>
        <w:tabs>
          <w:tab w:val="left" w:pos="6960"/>
        </w:tabs>
        <w:ind w:left="0" w:firstLine="567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Обеспечить проведение в месте выполнения работ необходимых мероприятий по технике безопасности, пожарной безопасности и охране материалов, оборудования, изделий, строительной техники и другого имущества, результатов работ от начала работ и до передачи  Заказчику.</w:t>
      </w:r>
    </w:p>
    <w:p>
      <w:pPr>
        <w:widowControl w:val="0"/>
        <w:tabs>
          <w:tab w:val="left" w:pos="6960"/>
        </w:tabs>
        <w:ind w:firstLine="567"/>
        <w:jc w:val="both"/>
        <w:rPr>
          <w:rFonts w:hint="default" w:ascii="Times New Roman" w:hAnsi="Times New Roman" w:cs="Times New Roman"/>
          <w:b/>
          <w:bCs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eastAsia="en-US"/>
        </w:rPr>
        <w:t>2. Требования  к применяемым материалам</w:t>
      </w:r>
    </w:p>
    <w:p>
      <w:pPr>
        <w:widowControl w:val="0"/>
        <w:tabs>
          <w:tab w:val="left" w:pos="6960"/>
        </w:tabs>
        <w:ind w:firstLine="567"/>
        <w:jc w:val="both"/>
        <w:rPr>
          <w:rFonts w:hint="default" w:ascii="Times New Roman" w:hAnsi="Times New Roman" w:cs="Times New Roman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sz w:val="18"/>
          <w:szCs w:val="18"/>
          <w:lang w:eastAsia="en-US"/>
        </w:rPr>
        <w:t>Используемые материалы должны отвечать требованиям действующих нормативных документов. При выполнении работ Подрядчик, до начала выполнения работ, обязан представить Заказчику  сертификаты соответствия качества на применяемые материалы.</w:t>
      </w:r>
    </w:p>
    <w:p>
      <w:pPr>
        <w:widowControl w:val="0"/>
        <w:tabs>
          <w:tab w:val="left" w:pos="6960"/>
        </w:tabs>
        <w:ind w:firstLine="567"/>
        <w:jc w:val="both"/>
        <w:rPr>
          <w:rFonts w:hint="default" w:ascii="Times New Roman" w:hAnsi="Times New Roman" w:cs="Times New Roman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sz w:val="18"/>
          <w:szCs w:val="18"/>
          <w:lang w:eastAsia="en-US"/>
        </w:rPr>
        <w:t xml:space="preserve">Качество применяемых материалов подтверждается сертификатами качества заводов изготовителей. </w:t>
      </w:r>
    </w:p>
    <w:p>
      <w:pPr>
        <w:widowControl w:val="0"/>
        <w:tabs>
          <w:tab w:val="left" w:pos="6960"/>
        </w:tabs>
        <w:ind w:firstLine="567"/>
        <w:jc w:val="both"/>
        <w:rPr>
          <w:rFonts w:hint="default" w:ascii="Times New Roman" w:hAnsi="Times New Roman" w:cs="Times New Roman"/>
          <w:b/>
          <w:bCs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eastAsia="en-US"/>
        </w:rPr>
        <w:t>3. Требования к качеству работ</w:t>
      </w:r>
    </w:p>
    <w:p>
      <w:pPr>
        <w:widowControl w:val="0"/>
        <w:tabs>
          <w:tab w:val="left" w:pos="6960"/>
        </w:tabs>
        <w:ind w:firstLine="567"/>
        <w:jc w:val="both"/>
        <w:rPr>
          <w:rFonts w:hint="default" w:ascii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eastAsia="en-US"/>
        </w:rPr>
        <w:t xml:space="preserve">Качество выполнения всех работ должно соответствовать требованиям действующего законодательства, нормативным и методическим документам. </w:t>
      </w:r>
    </w:p>
    <w:p>
      <w:pPr>
        <w:widowControl w:val="0"/>
        <w:tabs>
          <w:tab w:val="left" w:pos="6960"/>
        </w:tabs>
        <w:ind w:firstLine="567"/>
        <w:jc w:val="both"/>
        <w:rPr>
          <w:rFonts w:hint="default" w:ascii="Times New Roman" w:hAnsi="Times New Roman" w:cs="Times New Roman"/>
          <w:b/>
          <w:bCs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eastAsia="en-US"/>
        </w:rPr>
        <w:t>4. Требования к безопасности работ</w:t>
      </w:r>
    </w:p>
    <w:p>
      <w:pPr>
        <w:tabs>
          <w:tab w:val="left" w:pos="6960"/>
        </w:tabs>
        <w:ind w:firstLine="567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возникновении аварийной ситуации по вине Подрядчика, восстановительные и ремонтные работы осуществляются силами и за счет денежных средств Подрядчика.</w:t>
      </w:r>
    </w:p>
    <w:p>
      <w:pPr>
        <w:tabs>
          <w:tab w:val="left" w:pos="6960"/>
        </w:tabs>
        <w:ind w:firstLine="567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Подрядчик обязан своими силами и за свой счет возместить ущерб, причиненный при производстве работ по вине Подрядчика Заказчику и/или третьим лицам, или возместить убытки Заказчика  по возмещению ущерба, в том числе третьим лицам.</w:t>
      </w:r>
    </w:p>
    <w:p>
      <w:pPr>
        <w:tabs>
          <w:tab w:val="left" w:pos="6960"/>
        </w:tabs>
        <w:ind w:firstLine="567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Выполнение работ должно вестись с соблюдением правил техники безопасности согласно СНиП 12-03-2001, СНиП 12-04-2002 «Безопасность труда в строительстве», ПБ 10-382-00 «Правила устройства и безопасной эксплуатации грузоподъемных кранов», требований Федерального закона от 10.01.2002 г. № 7-ФЗ «Об охране окружающей среды», а так же  законодательным актам Российской Федерации, государственным стандартам (в том числе признанным в Российской Федерации межгосударственным и международным стандартам), санитарным нормам и правилам, строительным нормам и правилам, нормам по безопасности, а также другим документам, в соответствии с законодательством Российской Федерации.</w:t>
      </w:r>
    </w:p>
    <w:p>
      <w:pPr>
        <w:tabs>
          <w:tab w:val="left" w:pos="6960"/>
        </w:tabs>
        <w:rPr>
          <w:rFonts w:hint="default" w:ascii="Times New Roman" w:hAnsi="Times New Roman" w:cs="Times New Roman"/>
          <w:sz w:val="18"/>
          <w:szCs w:val="18"/>
        </w:rPr>
      </w:pPr>
    </w:p>
    <w:sectPr>
      <w:pgSz w:w="11906" w:h="16838"/>
      <w:pgMar w:top="1440" w:right="98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3EF"/>
    <w:multiLevelType w:val="multilevel"/>
    <w:tmpl w:val="2FE943EF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F43DE"/>
    <w:rsid w:val="541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suppressAutoHyphens/>
    </w:pPr>
    <w:rPr>
      <w:rFonts w:ascii="Arial" w:hAnsi="Arial" w:eastAsia="Calibri" w:cs="Arial"/>
      <w:sz w:val="22"/>
      <w:szCs w:val="22"/>
      <w:lang w:val="ru-RU" w:eastAsia="en-US" w:bidi="ar-SA"/>
    </w:rPr>
  </w:style>
  <w:style w:type="paragraph" w:styleId="5">
    <w:name w:val="List Paragraph"/>
    <w:basedOn w:val="1"/>
    <w:qFormat/>
    <w:uiPriority w:val="0"/>
    <w:pPr>
      <w:spacing w:after="200"/>
      <w:ind w:left="720"/>
      <w:contextualSpacing/>
      <w:jc w:val="center"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2021-06-04T06:05:00Z</dcterms:created>
  <dc:creator>odayn</dc:creator>
  <cp:lastModifiedBy>odayn</cp:lastModifiedBy>
  <dcterms:modified xsi:type="dcterms:W3CDTF">2021-06-04T06:08:01Z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