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document.xml" ContentType="application/vnd.openxmlformats-officedocument.wordprocessingml.document.main+xml"/>
  <Override PartName="/word/header3.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media/image179.wmf" ContentType="image/x-wmf"/>
  <Override PartName="/word/media/image178.wmf" ContentType="image/x-wmf"/>
  <Override PartName="/word/media/image177.wmf" ContentType="image/x-wmf"/>
  <Override PartName="/word/media/image176.wmf" ContentType="image/x-wmf"/>
  <Override PartName="/word/media/image175.wmf" ContentType="image/x-wmf"/>
  <Override PartName="/word/media/image174.wmf" ContentType="image/x-wmf"/>
  <Override PartName="/word/media/image173.wmf" ContentType="image/x-wmf"/>
  <Override PartName="/word/media/image172.wmf" ContentType="image/x-wmf"/>
  <Override PartName="/word/media/image171.wmf" ContentType="image/x-wmf"/>
  <Override PartName="/word/media/image170.wmf" ContentType="image/x-wmf"/>
  <Override PartName="/word/media/image169.wmf" ContentType="image/x-wmf"/>
  <Override PartName="/word/media/image168.wmf" ContentType="image/x-wmf"/>
  <Override PartName="/word/media/image167.wmf" ContentType="image/x-wmf"/>
  <Override PartName="/word/media/image166.wmf" ContentType="image/x-wmf"/>
  <Override PartName="/word/media/image165.wmf" ContentType="image/x-wmf"/>
  <Override PartName="/word/media/image164.wmf" ContentType="image/x-wmf"/>
  <Override PartName="/word/media/image163.wmf" ContentType="image/x-wmf"/>
  <Override PartName="/word/media/image23.wmf" ContentType="image/x-wmf"/>
  <Override PartName="/word/media/image193.wmf" ContentType="image/x-wmf"/>
  <Override PartName="/word/media/image36.wmf" ContentType="image/x-wmf"/>
  <Override PartName="/word/media/image51.wmf" ContentType="image/x-wmf"/>
  <Override PartName="/word/media/image191.wmf" ContentType="image/x-wmf"/>
  <Override PartName="/word/media/image21.wmf" ContentType="image/x-wmf"/>
  <Override PartName="/word/media/image37.wmf" ContentType="image/x-wmf"/>
  <Override PartName="/word/media/image156.wmf" ContentType="image/x-wmf"/>
  <Override PartName="/word/media/image52.wmf" ContentType="image/x-wmf"/>
  <Override PartName="/word/media/image192.wmf" ContentType="image/x-wmf"/>
  <Override PartName="/word/media/image22.wmf" ContentType="image/x-wmf"/>
  <Override PartName="/word/media/image38.wmf" ContentType="image/x-wmf"/>
  <Override PartName="/word/media/image157.wmf" ContentType="image/x-wmf"/>
  <Override PartName="/word/media/image53.wmf" ContentType="image/x-wmf"/>
  <Override PartName="/word/media/image39.wmf" ContentType="image/x-wmf"/>
  <Override PartName="/word/media/image158.wmf" ContentType="image/x-wmf"/>
  <Override PartName="/word/media/image54.wmf" ContentType="image/x-wmf"/>
  <Override PartName="/word/media/image155.wmf" ContentType="image/x-wmf"/>
  <Override PartName="/word/media/image215.wmf" ContentType="image/x-wmf"/>
  <Override PartName="/word/media/image161.wmf" ContentType="image/x-wmf"/>
  <Override PartName="/word/media/image181.wmf" ContentType="image/x-wmf"/>
  <Override PartName="/word/media/image11.wmf" ContentType="image/x-wmf"/>
  <Override PartName="/word/media/image182.wmf" ContentType="image/x-wmf"/>
  <Override PartName="/word/media/image12.wmf" ContentType="image/x-wmf"/>
  <Override PartName="/word/media/image183.wmf" ContentType="image/x-wmf"/>
  <Override PartName="/word/media/image13.wmf" ContentType="image/x-wmf"/>
  <Override PartName="/word/media/image184.wmf" ContentType="image/x-wmf"/>
  <Override PartName="/word/media/image14.wmf" ContentType="image/x-wmf"/>
  <Override PartName="/word/media/image56.wmf" ContentType="image/x-wmf"/>
  <Override PartName="/word/media/image6.wmf" ContentType="image/x-wmf"/>
  <Override PartName="/word/media/image91.wmf" ContentType="image/x-wmf"/>
  <Override PartName="/word/media/image16.wmf" ContentType="image/x-wmf"/>
  <Override PartName="/word/media/image186.wmf" ContentType="image/x-wmf"/>
  <Override PartName="/word/media/image57.wmf" ContentType="image/x-wmf"/>
  <Override PartName="/word/media/image7.wmf" ContentType="image/x-wmf"/>
  <Override PartName="/word/media/image92.wmf" ContentType="image/x-wmf"/>
  <Override PartName="/word/media/image17.wmf" ContentType="image/x-wmf"/>
  <Override PartName="/word/media/image187.wmf" ContentType="image/x-wmf"/>
  <Override PartName="/word/media/image58.wmf" ContentType="image/x-wmf"/>
  <Override PartName="/word/media/image8.wmf" ContentType="image/x-wmf"/>
  <Override PartName="/word/media/image93.wmf" ContentType="image/x-wmf"/>
  <Override PartName="/word/media/image18.wmf" ContentType="image/x-wmf"/>
  <Override PartName="/word/media/image188.wmf" ContentType="image/x-wmf"/>
  <Override PartName="/word/media/image19.wmf" ContentType="image/x-wmf"/>
  <Override PartName="/word/media/image189.wmf" ContentType="image/x-wmf"/>
  <Override PartName="/word/media/image94.wmf" ContentType="image/x-wmf"/>
  <Override PartName="/word/media/image9.wmf" ContentType="image/x-wmf"/>
  <Override PartName="/word/media/image72.wmf" ContentType="image/x-wmf"/>
  <Override PartName="/word/media/image73.wmf" ContentType="image/x-wmf"/>
  <Override PartName="/word/media/image74.wmf" ContentType="image/x-wmf"/>
  <Override PartName="/word/media/image75.wmf" ContentType="image/x-wmf"/>
  <Override PartName="/word/media/image139.wmf" ContentType="image/x-wmf"/>
  <Override PartName="/word/media/image70.wmf" ContentType="image/x-wmf"/>
  <Override PartName="/word/media/image76.wmf" ContentType="image/x-wmf"/>
  <Override PartName="/word/media/image77.wmf" ContentType="image/x-wmf"/>
  <Override PartName="/word/media/image209.wmf" ContentType="image/x-wmf"/>
  <Override PartName="/word/media/image149.wmf" ContentType="image/x-wmf"/>
  <Override PartName="/word/media/image80.wmf" ContentType="image/x-wmf"/>
  <Override PartName="/word/media/image85.wmf" ContentType="image/x-wmf"/>
  <Override PartName="/word/media/image78.wmf" ContentType="image/x-wmf"/>
  <Override PartName="/word/media/image82.wmf" ContentType="image/x-wmf"/>
  <Override PartName="/word/media/image49.wmf" ContentType="image/x-wmf"/>
  <Override PartName="/word/media/image47.wmf" ContentType="image/x-wmf"/>
  <Override PartName="/word/media/image81.wmf" ContentType="image/x-wmf"/>
  <Override PartName="/word/media/image48.wmf" ContentType="image/x-wmf"/>
  <Override PartName="/word/media/image86.wmf" ContentType="image/x-wmf"/>
  <Override PartName="/word/media/image95.wmf" ContentType="image/x-wmf"/>
  <Override PartName="/word/media/image100.wmf" ContentType="image/x-wmf"/>
  <Override PartName="/word/media/image101.wmf" ContentType="image/x-wmf"/>
  <Override PartName="/word/media/image96.wmf" ContentType="image/x-wmf"/>
  <Override PartName="/word/media/image15.wmf" ContentType="image/x-wmf"/>
  <Override PartName="/word/media/image185.wmf" ContentType="image/x-wmf"/>
  <Override PartName="/word/media/image90.wmf" ContentType="image/x-wmf"/>
  <Override PartName="/word/media/image159.wmf" ContentType="image/x-wmf"/>
  <Override PartName="/word/media/image5.wmf" ContentType="image/x-wmf"/>
  <Override PartName="/word/media/image87.wmf" ContentType="image/x-wmf"/>
  <Override PartName="/word/media/image88.wmf" ContentType="image/x-wmf"/>
  <Override PartName="/word/media/image4.wmf" ContentType="image/x-wmf"/>
  <Override PartName="/word/media/image199.wmf" ContentType="image/x-wmf"/>
  <Override PartName="/word/media/image29.wmf" ContentType="image/x-wmf"/>
  <Override PartName="/word/media/image84.wmf" ContentType="image/x-wmf"/>
  <Override PartName="/word/media/image83.wmf" ContentType="image/x-wmf"/>
  <Override PartName="/word/media/image71.wmf" ContentType="image/x-wmf"/>
  <Override PartName="/word/media/image68.wmf" ContentType="image/x-wmf"/>
  <Override PartName="/word/media/image67.wmf" ContentType="image/x-wmf"/>
  <Override PartName="/word/media/image66.wmf" ContentType="image/x-wmf"/>
  <Override PartName="/word/media/image65.wmf" ContentType="image/x-wmf"/>
  <Override PartName="/word/media/image129.wmf" ContentType="image/x-wmf"/>
  <Override PartName="/word/media/image60.wmf" ContentType="image/x-wmf"/>
  <Override PartName="/word/media/image64.wmf" ContentType="image/x-wmf"/>
  <Override PartName="/word/media/image63.wmf" ContentType="image/x-wmf"/>
  <Override PartName="/word/media/image62.wmf" ContentType="image/x-wmf"/>
  <Override PartName="/word/media/image61.wmf" ContentType="image/x-wmf"/>
  <Override PartName="/word/media/image50.wmf" ContentType="image/x-wmf"/>
  <Override PartName="/word/media/image119.wmf" ContentType="image/x-wmf"/>
  <Override PartName="/word/media/image55.wmf" ContentType="image/x-wmf"/>
  <Override PartName="/word/media/image20.wmf" ContentType="image/x-wmf"/>
  <Override PartName="/word/media/image190.wmf" ContentType="image/x-wmf"/>
  <Override PartName="/word/media/image79.wmf" ContentType="image/x-wmf"/>
  <Override PartName="/word/media/image69.wmf" ContentType="image/x-wmf"/>
  <Override PartName="/word/media/image10.wmf" ContentType="image/x-wmf"/>
  <Override PartName="/word/media/image180.wmf" ContentType="image/x-wmf"/>
  <Override PartName="/word/media/image59.wmf" ContentType="image/x-wmf"/>
  <Override PartName="/word/media/image24.wmf" ContentType="image/x-wmf"/>
  <Override PartName="/word/media/image194.wmf" ContentType="image/x-wmf"/>
  <Override PartName="/word/media/image25.wmf" ContentType="image/x-wmf"/>
  <Override PartName="/word/media/image195.wmf" ContentType="image/x-wmf"/>
  <Override PartName="/word/media/image26.wmf" ContentType="image/x-wmf"/>
  <Override PartName="/word/media/image1.wmf" ContentType="image/x-wmf"/>
  <Override PartName="/word/media/image196.wmf" ContentType="image/x-wmf"/>
  <Override PartName="/word/media/image27.wmf" ContentType="image/x-wmf"/>
  <Override PartName="/word/media/image2.wmf" ContentType="image/x-wmf"/>
  <Override PartName="/word/media/image197.wmf" ContentType="image/x-wmf"/>
  <Override PartName="/word/media/image28.wmf" ContentType="image/x-wmf"/>
  <Override PartName="/word/media/image3.wmf" ContentType="image/x-wmf"/>
  <Override PartName="/word/media/image198.wmf" ContentType="image/x-wmf"/>
  <Override PartName="/word/media/image89.wmf" ContentType="image/x-wmf"/>
  <Override PartName="/word/media/image30.wmf" ContentType="image/x-wmf"/>
  <Override PartName="/word/media/image31.wmf" ContentType="image/x-wmf"/>
  <Override PartName="/word/media/image32.wmf" ContentType="image/x-wmf"/>
  <Override PartName="/word/media/image33.wmf" ContentType="image/x-wmf"/>
  <Override PartName="/word/media/image34.wmf" ContentType="image/x-wmf"/>
  <Override PartName="/word/media/image35.wmf" ContentType="image/x-wmf"/>
  <Override PartName="/word/media/image40.wmf" ContentType="image/x-wmf"/>
  <Override PartName="/word/media/image109.wmf" ContentType="image/x-wmf"/>
  <Override PartName="/word/media/image41.wmf" ContentType="image/x-wmf"/>
  <Override PartName="/word/media/image42.wmf" ContentType="image/x-wmf"/>
  <Override PartName="/word/media/image43.wmf" ContentType="image/x-wmf"/>
  <Override PartName="/word/media/image44.wmf" ContentType="image/x-wmf"/>
  <Override PartName="/word/media/image45.wmf" ContentType="image/x-wmf"/>
  <Override PartName="/word/media/image46.wmf" ContentType="image/x-wmf"/>
  <Override PartName="/word/media/image97.wmf" ContentType="image/x-wmf"/>
  <Override PartName="/word/media/image102.wmf" ContentType="image/x-wmf"/>
  <Override PartName="/word/media/image98.wmf" ContentType="image/x-wmf"/>
  <Override PartName="/word/media/image103.wmf" ContentType="image/x-wmf"/>
  <Override PartName="/word/media/image99.wmf" ContentType="image/x-wmf"/>
  <Override PartName="/word/media/image104.wmf" ContentType="image/x-wmf"/>
  <Override PartName="/word/media/image105.wmf" ContentType="image/x-wmf"/>
  <Override PartName="/word/media/image106.wmf" ContentType="image/x-wmf"/>
  <Override PartName="/word/media/image107.wmf" ContentType="image/x-wmf"/>
  <Override PartName="/word/media/image108.wmf" ContentType="image/x-wmf"/>
  <Override PartName="/word/media/image110.wmf" ContentType="image/x-wmf"/>
  <Override PartName="/word/media/image111.wmf" ContentType="image/x-wmf"/>
  <Override PartName="/word/media/image112.wmf" ContentType="image/x-wmf"/>
  <Override PartName="/word/media/image113.wmf" ContentType="image/x-wmf"/>
  <Override PartName="/word/media/image114.wmf" ContentType="image/x-wmf"/>
  <Override PartName="/word/media/image115.wmf" ContentType="image/x-wmf"/>
  <Override PartName="/word/media/image116.wmf" ContentType="image/x-wmf"/>
  <Override PartName="/word/media/image117.wmf" ContentType="image/x-wmf"/>
  <Override PartName="/word/media/image118.wmf" ContentType="image/x-wmf"/>
  <Override PartName="/word/media/image120.wmf" ContentType="image/x-wmf"/>
  <Override PartName="/word/media/image121.wmf" ContentType="image/x-wmf"/>
  <Override PartName="/word/media/image122.wmf" ContentType="image/x-wmf"/>
  <Override PartName="/word/media/image123.wmf" ContentType="image/x-wmf"/>
  <Override PartName="/word/media/image124.wmf" ContentType="image/x-wmf"/>
  <Override PartName="/word/media/image125.wmf" ContentType="image/x-wmf"/>
  <Override PartName="/word/media/image126.wmf" ContentType="image/x-wmf"/>
  <Override PartName="/word/media/image127.wmf" ContentType="image/x-wmf"/>
  <Override PartName="/word/media/image128.wmf" ContentType="image/x-wmf"/>
  <Override PartName="/word/media/image130.wmf" ContentType="image/x-wmf"/>
  <Override PartName="/word/media/image131.wmf" ContentType="image/x-wmf"/>
  <Override PartName="/word/media/image132.wmf" ContentType="image/x-wmf"/>
  <Override PartName="/word/media/image133.wmf" ContentType="image/x-wmf"/>
  <Override PartName="/word/media/image134.wmf" ContentType="image/x-wmf"/>
  <Override PartName="/word/media/image135.wmf" ContentType="image/x-wmf"/>
  <Override PartName="/word/media/image136.wmf" ContentType="image/x-wmf"/>
  <Override PartName="/word/media/image137.wmf" ContentType="image/x-wmf"/>
  <Override PartName="/word/media/image138.wmf" ContentType="image/x-wmf"/>
  <Override PartName="/word/media/image200.wmf" ContentType="image/x-wmf"/>
  <Override PartName="/word/media/image140.wmf" ContentType="image/x-wmf"/>
  <Override PartName="/word/media/image201.wmf" ContentType="image/x-wmf"/>
  <Override PartName="/word/media/image141.wmf" ContentType="image/x-wmf"/>
  <Override PartName="/word/media/image202.wmf" ContentType="image/x-wmf"/>
  <Override PartName="/word/media/image142.wmf" ContentType="image/x-wmf"/>
  <Override PartName="/word/media/image203.wmf" ContentType="image/x-wmf"/>
  <Override PartName="/word/media/image143.wmf" ContentType="image/x-wmf"/>
  <Override PartName="/word/media/image204.wmf" ContentType="image/x-wmf"/>
  <Override PartName="/word/media/image144.wmf" ContentType="image/x-wmf"/>
  <Override PartName="/word/media/image205.wmf" ContentType="image/x-wmf"/>
  <Override PartName="/word/media/image145.wmf" ContentType="image/x-wmf"/>
  <Override PartName="/word/media/image206.wmf" ContentType="image/x-wmf"/>
  <Override PartName="/word/media/image146.wmf" ContentType="image/x-wmf"/>
  <Override PartName="/word/media/image207.wmf" ContentType="image/x-wmf"/>
  <Override PartName="/word/media/image147.wmf" ContentType="image/x-wmf"/>
  <Override PartName="/word/media/image208.wmf" ContentType="image/x-wmf"/>
  <Override PartName="/word/media/image148.wmf" ContentType="image/x-wmf"/>
  <Override PartName="/word/media/image150.wmf" ContentType="image/x-wmf"/>
  <Override PartName="/word/media/image210.wmf" ContentType="image/x-wmf"/>
  <Override PartName="/word/media/image151.wmf" ContentType="image/x-wmf"/>
  <Override PartName="/word/media/image211.wmf" ContentType="image/x-wmf"/>
  <Override PartName="/word/media/image152.wmf" ContentType="image/x-wmf"/>
  <Override PartName="/word/media/image212.wmf" ContentType="image/x-wmf"/>
  <Override PartName="/word/media/image153.wmf" ContentType="image/x-wmf"/>
  <Override PartName="/word/media/image213.wmf" ContentType="image/x-wmf"/>
  <Override PartName="/word/media/image154.wmf" ContentType="image/x-wmf"/>
  <Override PartName="/word/media/image214.wmf" ContentType="image/x-wmf"/>
  <Override PartName="/word/media/image160.wmf" ContentType="image/x-wmf"/>
  <Override PartName="/word/media/image162.wmf" ContentType="image/x-wmf"/>
  <Override PartName="/word/theme/theme1.xml" ContentType="application/vnd.openxmlformats-officedocument.theme+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321" w:type="dxa"/>
        <w:jc w:val="left"/>
        <w:tblInd w:w="5803" w:type="dxa"/>
        <w:tblLayout w:type="fixed"/>
        <w:tblCellMar>
          <w:top w:w="55" w:type="dxa"/>
          <w:left w:w="55" w:type="dxa"/>
          <w:bottom w:w="55" w:type="dxa"/>
          <w:right w:w="55" w:type="dxa"/>
        </w:tblCellMar>
      </w:tblPr>
      <w:tblGrid>
        <w:gridCol w:w="4321"/>
      </w:tblGrid>
      <w:tr>
        <w:trPr/>
        <w:tc>
          <w:tcPr>
            <w:tcW w:w="4321" w:type="dxa"/>
            <w:tcBorders/>
          </w:tcPr>
          <w:p>
            <w:pPr>
              <w:pStyle w:val="ConsPlusNormal"/>
              <w:numPr>
                <w:ilvl w:val="0"/>
                <w:numId w:val="0"/>
              </w:numPr>
              <w:spacing w:before="0" w:after="0"/>
              <w:ind w:left="0" w:right="0" w:firstLine="709"/>
              <w:jc w:val="center"/>
              <w:outlineLvl w:val="0"/>
              <w:rPr/>
            </w:pPr>
            <w:r>
              <w:rPr>
                <w:rFonts w:eastAsia="" w:cs="Times New Roman" w:eastAsiaTheme="minorEastAsia"/>
                <w:color w:val="auto"/>
                <w:kern w:val="0"/>
                <w:sz w:val="28"/>
                <w:szCs w:val="28"/>
                <w:lang w:val="ru-RU" w:eastAsia="ru-RU" w:bidi="ar-SA"/>
              </w:rPr>
              <w:t>УТВЕРЖДЕН</w:t>
            </w:r>
          </w:p>
          <w:p>
            <w:pPr>
              <w:pStyle w:val="ConsPlusNormal"/>
              <w:spacing w:before="0" w:after="0"/>
              <w:ind w:left="0" w:right="0" w:firstLine="709"/>
              <w:jc w:val="center"/>
              <w:rPr/>
            </w:pPr>
            <w:r>
              <w:rPr>
                <w:sz w:val="28"/>
                <w:szCs w:val="28"/>
              </w:rPr>
              <w:t>приказом Минтранса России</w:t>
            </w:r>
          </w:p>
          <w:p>
            <w:pPr>
              <w:pStyle w:val="ConsPlusNormal"/>
              <w:spacing w:before="0" w:after="0"/>
              <w:ind w:left="0" w:right="0" w:firstLine="709"/>
              <w:jc w:val="center"/>
              <w:rPr/>
            </w:pPr>
            <w:r>
              <w:rPr>
                <w:sz w:val="28"/>
                <w:szCs w:val="28"/>
              </w:rPr>
              <w:t>от ____________№________</w:t>
            </w:r>
          </w:p>
        </w:tc>
      </w:tr>
    </w:tbl>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sz w:val="28"/>
          <w:szCs w:val="28"/>
        </w:rPr>
      </w:pPr>
      <w:r>
        <w:rPr>
          <w:sz w:val="28"/>
          <w:szCs w:val="28"/>
        </w:rPr>
      </w:r>
    </w:p>
    <w:p>
      <w:pPr>
        <w:pStyle w:val="ConsPlusTitle"/>
        <w:widowControl w:val="false"/>
        <w:bidi w:val="0"/>
        <w:spacing w:before="0" w:after="0"/>
        <w:ind w:left="0" w:right="0" w:hanging="0"/>
        <w:jc w:val="center"/>
        <w:rPr/>
      </w:pPr>
      <w:r>
        <w:rPr>
          <w:rFonts w:cs="Times New Roman" w:ascii="Times New Roman" w:hAnsi="Times New Roman"/>
          <w:sz w:val="28"/>
          <w:szCs w:val="28"/>
        </w:rPr>
        <w:t>П</w:t>
      </w:r>
      <w:r>
        <w:rPr>
          <w:rFonts w:cs="Times New Roman" w:ascii="Times New Roman" w:hAnsi="Times New Roman"/>
          <w:sz w:val="28"/>
          <w:szCs w:val="28"/>
        </w:rPr>
        <w:t>орядок определения начальной (максимальной) цены контракта,</w:t>
        <w:br/>
        <w:t>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w:t>
      </w:r>
    </w:p>
    <w:p>
      <w:pPr>
        <w:pStyle w:val="ConsPlusTitle"/>
        <w:widowControl w:val="false"/>
        <w:bidi w:val="0"/>
        <w:spacing w:before="0" w:after="0"/>
        <w:ind w:left="0" w:right="0" w:hanging="0"/>
        <w:jc w:val="center"/>
        <w:rPr/>
      </w:pPr>
      <w:r>
        <w:rPr>
          <w:rFonts w:cs="Times New Roman" w:ascii="Times New Roman" w:hAnsi="Times New Roman"/>
          <w:sz w:val="28"/>
          <w:szCs w:val="28"/>
        </w:rPr>
        <w:t>автомобильным транспортом и городским наземным</w:t>
      </w:r>
    </w:p>
    <w:p>
      <w:pPr>
        <w:pStyle w:val="ConsPlusTitle"/>
        <w:widowControl w:val="false"/>
        <w:bidi w:val="0"/>
        <w:spacing w:before="0" w:after="0"/>
        <w:ind w:left="0" w:right="0" w:hanging="0"/>
        <w:jc w:val="center"/>
        <w:rPr/>
      </w:pPr>
      <w:r>
        <w:rPr>
          <w:rFonts w:cs="Times New Roman" w:ascii="Times New Roman" w:hAnsi="Times New Roman"/>
          <w:sz w:val="28"/>
          <w:szCs w:val="28"/>
        </w:rPr>
        <w:t>электрическим транспортом</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 xml:space="preserve">1. Настоящий Порядок разработан в целях реализации </w:t>
      </w:r>
      <w:hyperlink r:id="rId2">
        <w:r>
          <w:rPr>
            <w:sz w:val="28"/>
            <w:szCs w:val="28"/>
          </w:rPr>
          <w:t>части 2 статьи 14</w:t>
        </w:r>
      </w:hyperlink>
      <w:r>
        <w:rPr>
          <w:sz w:val="28"/>
          <w:szCs w:val="28"/>
        </w:rPr>
        <w:t xml:space="preserve"> Федерального закона от 13 июля 2015 г. № 220-ФЗ «Об организации регулярных перевозок пассажиров и багажа автомобильным транспортом</w:t>
        <w:br/>
        <w:t>и городским наземным электрическим транспортом в Российской Федерации</w:t>
        <w:br/>
        <w:t>и внесении изменений в отдельные законодательные акты Российской Федерации».</w:t>
      </w:r>
    </w:p>
    <w:p>
      <w:pPr>
        <w:pStyle w:val="ConsPlusNormal"/>
        <w:spacing w:before="0" w:after="0"/>
        <w:ind w:left="0" w:right="0" w:firstLine="709"/>
        <w:jc w:val="both"/>
        <w:rPr/>
      </w:pPr>
      <w:r>
        <w:rPr>
          <w:sz w:val="28"/>
          <w:szCs w:val="28"/>
        </w:rPr>
        <w:t>2. Настоящий Порядок определяет единые правила расчета заказчиками начальной (максимальной) цены контракта, цены контракта, заключаемого</w:t>
        <w:br/>
        <w:t xml:space="preserve">с единственным поставщиком (подрядчиком, исполнителем) (далее </w:t>
      </w:r>
      <w:r>
        <w:rPr>
          <w:rFonts w:eastAsia="" w:cs="Times New Roman" w:eastAsiaTheme="minorEastAsia"/>
          <w:color w:val="auto"/>
          <w:kern w:val="0"/>
          <w:sz w:val="28"/>
          <w:szCs w:val="28"/>
          <w:lang w:val="ru-RU" w:eastAsia="ru-RU" w:bidi="ar-SA"/>
        </w:rPr>
        <w:t>−</w:t>
      </w:r>
      <w:r>
        <w:rPr>
          <w:sz w:val="28"/>
          <w:szCs w:val="28"/>
        </w:rPr>
        <w:t xml:space="preserve"> НМЦК),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p>
    <w:p>
      <w:pPr>
        <w:pStyle w:val="ConsPlusNormal"/>
        <w:spacing w:before="0" w:after="0"/>
        <w:ind w:left="0" w:right="0" w:firstLine="709"/>
        <w:jc w:val="both"/>
        <w:rPr/>
      </w:pPr>
      <w:r>
        <w:rPr>
          <w:sz w:val="28"/>
          <w:szCs w:val="28"/>
        </w:rPr>
        <w:t xml:space="preserve">3. В случае если в соответствии с документацией о закупках работ, связанных с осуществлением регулярных перевозок по регулируемым тарифам (далее </w:t>
      </w:r>
      <w:r>
        <w:rPr>
          <w:rFonts w:eastAsia="" w:cs="Times New Roman" w:eastAsiaTheme="minorEastAsia"/>
          <w:color w:val="auto"/>
          <w:kern w:val="0"/>
          <w:sz w:val="28"/>
          <w:szCs w:val="28"/>
          <w:lang w:val="ru-RU" w:eastAsia="ru-RU" w:bidi="ar-SA"/>
        </w:rPr>
        <w:t>−</w:t>
      </w:r>
      <w:r>
        <w:rPr>
          <w:sz w:val="28"/>
          <w:szCs w:val="28"/>
        </w:rPr>
        <w:t xml:space="preserve"> работ), либо в соответствии с контрактом (в случае осуществления закупок таких работ у единственного поставщика (подрядчика, исполнителя) (далее </w:t>
      </w:r>
      <w:r>
        <w:rPr>
          <w:rFonts w:eastAsia="" w:cs="Times New Roman" w:eastAsiaTheme="minorEastAsia"/>
          <w:color w:val="auto"/>
          <w:kern w:val="0"/>
          <w:sz w:val="28"/>
          <w:szCs w:val="28"/>
          <w:lang w:val="ru-RU" w:eastAsia="ru-RU" w:bidi="ar-SA"/>
        </w:rPr>
        <w:t>−</w:t>
      </w:r>
      <w:r>
        <w:rPr>
          <w:sz w:val="28"/>
          <w:szCs w:val="28"/>
        </w:rPr>
        <w:t xml:space="preserve"> подрядчик) плата за проезд пассажиров и провоз багажа подлежит перечислению государственному или муниципальному заказчику, НМЦК определяется</w:t>
        <w:br/>
        <w:t>по формуле (1), а если эта плата подлежит перечислению</w:t>
        <w:br/>
        <w:t xml:space="preserve">подрядчику, </w:t>
      </w:r>
      <w:r>
        <w:rPr>
          <w:rFonts w:eastAsia="" w:cs="Times New Roman" w:eastAsiaTheme="minorEastAsia"/>
          <w:color w:val="auto"/>
          <w:kern w:val="0"/>
          <w:sz w:val="28"/>
          <w:szCs w:val="28"/>
          <w:lang w:val="ru-RU" w:eastAsia="ru-RU" w:bidi="ar-SA"/>
        </w:rPr>
        <w:t>−</w:t>
      </w:r>
      <w:r>
        <w:rPr>
          <w:sz w:val="28"/>
          <w:szCs w:val="28"/>
        </w:rPr>
        <w:t xml:space="preserve"> по формуле (2).</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2560320" cy="519430"/>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3"/>
                    <a:stretch>
                      <a:fillRect/>
                    </a:stretch>
                  </pic:blipFill>
                  <pic:spPr bwMode="auto">
                    <a:xfrm>
                      <a:off x="0" y="0"/>
                      <a:ext cx="2560320" cy="519430"/>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3306445" cy="519430"/>
            <wp:effectExtent l="0" t="0" r="0" b="0"/>
            <wp:docPr id="2"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
                    <pic:cNvPicPr>
                      <a:picLocks noChangeAspect="1" noChangeArrowheads="1"/>
                    </pic:cNvPicPr>
                  </pic:nvPicPr>
                  <pic:blipFill>
                    <a:blip r:embed="rId4"/>
                    <a:stretch>
                      <a:fillRect/>
                    </a:stretch>
                  </pic:blipFill>
                  <pic:spPr bwMode="auto">
                    <a:xfrm>
                      <a:off x="0" y="0"/>
                      <a:ext cx="3306445" cy="519430"/>
                    </a:xfrm>
                    <a:prstGeom prst="rect">
                      <a:avLst/>
                    </a:prstGeom>
                  </pic:spPr>
                </pic:pic>
              </a:graphicData>
            </a:graphic>
          </wp:inline>
        </w:drawing>
      </w:r>
      <w:r>
        <w:rPr/>
        <w:t xml:space="preserve"> </w:t>
      </w:r>
    </w:p>
    <w:p>
      <w:pPr>
        <w:pStyle w:val="ConsPlusNormal"/>
        <w:spacing w:before="0" w:after="0"/>
        <w:ind w:left="0" w:right="0" w:firstLine="709"/>
        <w:jc w:val="both"/>
        <w:rPr/>
      </w:pPr>
      <w:r>
        <w:rPr/>
      </w:r>
    </w:p>
    <w:p>
      <w:pPr>
        <w:pStyle w:val="ConsPlusNormal"/>
        <w:spacing w:before="0" w:after="0"/>
        <w:ind w:left="0" w:right="0" w:firstLine="709"/>
        <w:jc w:val="both"/>
        <w:rPr/>
      </w:pPr>
      <w:r>
        <w:rPr>
          <w:sz w:val="28"/>
          <w:szCs w:val="28"/>
        </w:rPr>
        <w:t>г</w:t>
      </w:r>
      <w:r>
        <w:rPr>
          <w:sz w:val="28"/>
          <w:szCs w:val="28"/>
        </w:rPr>
        <w:t>де:</w:t>
      </w:r>
    </w:p>
    <w:p>
      <w:pPr>
        <w:pStyle w:val="ConsPlusNormal"/>
        <w:spacing w:before="0" w:after="0"/>
        <w:ind w:left="0" w:right="0" w:firstLine="709"/>
        <w:jc w:val="both"/>
        <w:rPr/>
      </w:pPr>
      <w:r>
        <w:rPr/>
        <w:drawing>
          <wp:inline distT="0" distB="0" distL="0" distR="0">
            <wp:extent cx="219710" cy="278130"/>
            <wp:effectExtent l="0" t="0" r="0" b="0"/>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5"/>
                    <a:stretch>
                      <a:fillRect/>
                    </a:stretch>
                  </pic:blipFill>
                  <pic:spPr bwMode="auto">
                    <a:xfrm>
                      <a:off x="0" y="0"/>
                      <a:ext cx="219710" cy="278130"/>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 xml:space="preserve">определенная в соответствии с </w:t>
      </w:r>
      <w:hyperlink w:anchor="Par107" w:tgtFrame="7. Максимальная стоимость работы транспортных средств i-го класса за весь срок действия контракта (_) определяется по формуле (8).">
        <w:r>
          <w:rPr>
            <w:sz w:val="28"/>
            <w:szCs w:val="28"/>
          </w:rPr>
          <w:t>пунктом 7</w:t>
        </w:r>
      </w:hyperlink>
      <w:r>
        <w:rPr>
          <w:sz w:val="28"/>
          <w:szCs w:val="28"/>
        </w:rPr>
        <w:t xml:space="preserve"> настоящего Порядка максимальная стоимость работы транспортных средств i-го класса за весь срок действия контракта, руб.;</w:t>
      </w:r>
    </w:p>
    <w:p>
      <w:pPr>
        <w:sectPr>
          <w:headerReference w:type="default" r:id="rId7"/>
          <w:type w:val="nextPage"/>
          <w:pgSz w:w="11906" w:h="16838"/>
          <w:pgMar w:left="1134" w:right="624" w:header="335" w:top="953" w:footer="0" w:bottom="1134" w:gutter="0"/>
          <w:pgNumType w:start="1" w:fmt="decimal"/>
          <w:formProt w:val="false"/>
          <w:textDirection w:val="lrTb"/>
          <w:docGrid w:type="default" w:linePitch="360" w:charSpace="0"/>
        </w:sectPr>
        <w:pStyle w:val="ConsPlusNormal"/>
        <w:spacing w:before="0" w:after="0"/>
        <w:ind w:left="0" w:right="0" w:firstLine="709"/>
        <w:jc w:val="both"/>
        <w:rPr/>
      </w:pPr>
      <w:r>
        <w:rPr/>
        <w:drawing>
          <wp:inline distT="0" distB="0" distL="0" distR="0">
            <wp:extent cx="263525" cy="278130"/>
            <wp:effectExtent l="0" t="0" r="0" b="0"/>
            <wp:docPr id="4" name="Рисунок 3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59" descr=""/>
                    <pic:cNvPicPr>
                      <a:picLocks noChangeAspect="1" noChangeArrowheads="1"/>
                    </pic:cNvPicPr>
                  </pic:nvPicPr>
                  <pic:blipFill>
                    <a:blip r:embed="rId6"/>
                    <a:stretch>
                      <a:fillRect/>
                    </a:stretch>
                  </pic:blipFill>
                  <pic:spPr bwMode="auto">
                    <a:xfrm>
                      <a:off x="0" y="0"/>
                      <a:ext cx="263525" cy="278130"/>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затраты подрядчика на приобретение, установку и эксплуатацию</w:t>
        <w:br/>
        <w:t xml:space="preserve">в транспортных средствах i-го класса дополнительного оборудования, обязанность </w:t>
      </w:r>
    </w:p>
    <w:p>
      <w:pPr>
        <w:pStyle w:val="ConsPlusNormal"/>
        <w:spacing w:before="0" w:after="0"/>
        <w:ind w:left="0" w:right="0" w:firstLine="709"/>
        <w:jc w:val="both"/>
        <w:rPr/>
      </w:pPr>
      <w:r>
        <w:rPr>
          <w:sz w:val="28"/>
          <w:szCs w:val="28"/>
        </w:rPr>
        <w:t>использования которого предусмотрена нормативными правовыми актами или условиями контракта, включая контрольно-кассовую технику, оборудование для использования в автоматизированных системах оплаты и контроля оплаты проезда, оборудование, используемое для информирования пассажиров в процессе перевозки, оборудование, используемое для обеспечения доступности транспортного средства для инвалидов, оборудование, используемое в автоматизированных системах мониторинга пассажиропотока, оборудование, используемое для мониторинга дорожной ситуации (видеорегистраторы) и прочее аналогичное оборудование, руб.;</w:t>
      </w:r>
    </w:p>
    <w:p>
      <w:pPr>
        <w:pStyle w:val="ConsPlusNormal"/>
        <w:spacing w:before="0" w:after="0"/>
        <w:ind w:left="0" w:right="0" w:firstLine="709"/>
        <w:jc w:val="both"/>
        <w:rPr/>
      </w:pPr>
      <w:r>
        <w:rPr/>
        <w:drawing>
          <wp:inline distT="0" distB="0" distL="0" distR="0">
            <wp:extent cx="336550" cy="285115"/>
            <wp:effectExtent l="0" t="0" r="0" b="0"/>
            <wp:docPr id="5"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6" descr=""/>
                    <pic:cNvPicPr>
                      <a:picLocks noChangeAspect="1" noChangeArrowheads="1"/>
                    </pic:cNvPicPr>
                  </pic:nvPicPr>
                  <pic:blipFill>
                    <a:blip r:embed="rId8"/>
                    <a:stretch>
                      <a:fillRect/>
                    </a:stretch>
                  </pic:blipFill>
                  <pic:spPr bwMode="auto">
                    <a:xfrm>
                      <a:off x="0" y="0"/>
                      <a:ext cx="336550" cy="285115"/>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размер субсидий, которые будут предоставлены подрядчику</w:t>
        <w:br/>
        <w:t>в соответствии с нормативным правовым актом субъекта Российской Федерации, муниципальным нормативным правовым актом, принятыми в соответствии</w:t>
        <w:br/>
        <w:t xml:space="preserve">с Бюджетным </w:t>
      </w:r>
      <w:hyperlink r:id="rId9">
        <w:r>
          <w:rPr>
            <w:sz w:val="28"/>
            <w:szCs w:val="28"/>
          </w:rPr>
          <w:t>кодексом</w:t>
        </w:r>
      </w:hyperlink>
      <w:r>
        <w:rPr>
          <w:sz w:val="28"/>
          <w:szCs w:val="28"/>
        </w:rPr>
        <w:t xml:space="preserve"> Российской Федерации, в целях компенсации недополученных доходов от предоставления льгот на проезд пассажиров или части затрат на выполнение предусмотренных контрактом работ, руб. (в отсутствие соответствующих нормативных правовых актов </w:t>
      </w:r>
      <w:r>
        <w:rPr/>
        <w:drawing>
          <wp:inline distT="0" distB="0" distL="0" distR="0">
            <wp:extent cx="336550" cy="285115"/>
            <wp:effectExtent l="0" t="0" r="0" b="0"/>
            <wp:docPr id="6"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7" descr=""/>
                    <pic:cNvPicPr>
                      <a:picLocks noChangeAspect="1" noChangeArrowheads="1"/>
                    </pic:cNvPicPr>
                  </pic:nvPicPr>
                  <pic:blipFill>
                    <a:blip r:embed="rId10"/>
                    <a:stretch>
                      <a:fillRect/>
                    </a:stretch>
                  </pic:blipFill>
                  <pic:spPr bwMode="auto">
                    <a:xfrm>
                      <a:off x="0" y="0"/>
                      <a:ext cx="336550" cy="285115"/>
                    </a:xfrm>
                    <a:prstGeom prst="rect">
                      <a:avLst/>
                    </a:prstGeom>
                  </pic:spPr>
                </pic:pic>
              </a:graphicData>
            </a:graphic>
          </wp:inline>
        </w:drawing>
      </w:r>
      <w:r>
        <w:rPr>
          <w:sz w:val="28"/>
          <w:szCs w:val="28"/>
        </w:rPr>
        <w:t xml:space="preserve"> принимается равным нулю);</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drawing>
          <wp:inline distT="0" distB="0" distL="0" distR="0">
            <wp:extent cx="219710" cy="197485"/>
            <wp:effectExtent l="0" t="0" r="0" b="0"/>
            <wp:docPr id="7"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8" descr=""/>
                    <pic:cNvPicPr>
                      <a:picLocks noChangeAspect="1" noChangeArrowheads="1"/>
                    </pic:cNvPicPr>
                  </pic:nvPicPr>
                  <pic:blipFill>
                    <a:blip r:embed="rId11"/>
                    <a:stretch>
                      <a:fillRect/>
                    </a:stretch>
                  </pic:blipFill>
                  <pic:spPr bwMode="auto">
                    <a:xfrm>
                      <a:off x="0" y="0"/>
                      <a:ext cx="219710" cy="197485"/>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 xml:space="preserve">определенная в соответствии с </w:t>
      </w:r>
      <w:hyperlink w:anchor="Par67" w:tgtFrame="4. В случае если до осуществления закупок, перевозки по предусмотренным контрактом маршрутам выполнялись в течение периода не менее 12 месяцев, планируемая плата за проезд пассажиров и провоз багажа, оставляемая в распоряжении подрядчика, определяется в зависи">
        <w:r>
          <w:rPr>
            <w:sz w:val="28"/>
            <w:szCs w:val="28"/>
          </w:rPr>
          <w:t>пунктом 4</w:t>
        </w:r>
      </w:hyperlink>
      <w:r>
        <w:rPr>
          <w:sz w:val="28"/>
          <w:szCs w:val="28"/>
        </w:rPr>
        <w:t xml:space="preserve"> настоящего Порядка планируемая плата за проезд пассажиров и провоз багажа, оставляемая</w:t>
        <w:br/>
        <w:t>в распоряжении подрядчика, руб.;</w:t>
      </w:r>
    </w:p>
    <w:p>
      <w:pPr>
        <w:pStyle w:val="ConsPlusNormal"/>
        <w:spacing w:before="0" w:after="0"/>
        <w:ind w:left="0" w:right="0" w:firstLine="709"/>
        <w:jc w:val="both"/>
        <w:rPr/>
      </w:pPr>
      <w:r>
        <w:rPr/>
        <w:drawing>
          <wp:inline distT="0" distB="0" distL="0" distR="0">
            <wp:extent cx="152400" cy="219075"/>
            <wp:effectExtent l="0" t="0" r="0" b="0"/>
            <wp:docPr id="8"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9" descr=""/>
                    <pic:cNvPicPr>
                      <a:picLocks noChangeAspect="1" noChangeArrowheads="1"/>
                    </pic:cNvPicPr>
                  </pic:nvPicPr>
                  <pic:blipFill>
                    <a:blip r:embed="rId12"/>
                    <a:stretch>
                      <a:fillRect/>
                    </a:stretch>
                  </pic:blipFill>
                  <pic:spPr bwMode="auto">
                    <a:xfrm>
                      <a:off x="0" y="0"/>
                      <a:ext cx="152400" cy="219075"/>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количество предусмотренных контрактом классов транспортных средств.</w:t>
      </w:r>
    </w:p>
    <w:p>
      <w:pPr>
        <w:pStyle w:val="ConsPlusNormal"/>
        <w:spacing w:before="0" w:after="0"/>
        <w:ind w:left="0" w:right="0" w:firstLine="709"/>
        <w:jc w:val="both"/>
        <w:rPr/>
      </w:pPr>
      <w:r>
        <w:rPr>
          <w:sz w:val="28"/>
          <w:szCs w:val="28"/>
        </w:rPr>
        <w:t>В случае, если контракт заключается на обслуживание маршрутов нескольких видов транспорта, НМЦК составляет сумму НМЦК по каждому из видов транспорта.</w:t>
      </w:r>
    </w:p>
    <w:p>
      <w:pPr>
        <w:pStyle w:val="ConsPlusNormal"/>
        <w:spacing w:before="0" w:after="0"/>
        <w:ind w:left="0" w:right="0" w:firstLine="709"/>
        <w:jc w:val="both"/>
        <w:rPr/>
      </w:pPr>
      <w:bookmarkStart w:id="0" w:name="Par67"/>
      <w:bookmarkEnd w:id="0"/>
      <w:r>
        <w:rPr>
          <w:sz w:val="28"/>
          <w:szCs w:val="28"/>
        </w:rPr>
        <w:t>4. В случае если до осуществления закупок, перевозки по предусмотренным контрактом маршрутам выполнялись в течение периода не менее 12 месяцев, планируемая плата за проезд пассажиров и провоз багажа, оставляемая</w:t>
        <w:br/>
        <w:t>в распоряжении подрядчика, определяется в зависимости от соотношения фактического и планируемого пробега, приведенного по вместимости транспортных средств, по формуле (3) или (4).</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5164455" cy="541020"/>
            <wp:effectExtent l="0" t="0" r="0" b="0"/>
            <wp:docPr id="9"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0" descr=""/>
                    <pic:cNvPicPr>
                      <a:picLocks noChangeAspect="1" noChangeArrowheads="1"/>
                    </pic:cNvPicPr>
                  </pic:nvPicPr>
                  <pic:blipFill>
                    <a:blip r:embed="rId13"/>
                    <a:stretch>
                      <a:fillRect/>
                    </a:stretch>
                  </pic:blipFill>
                  <pic:spPr bwMode="auto">
                    <a:xfrm>
                      <a:off x="0" y="0"/>
                      <a:ext cx="5164455" cy="541020"/>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3964940" cy="541020"/>
            <wp:effectExtent l="0" t="0" r="0" b="0"/>
            <wp:docPr id="10"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1" descr=""/>
                    <pic:cNvPicPr>
                      <a:picLocks noChangeAspect="1" noChangeArrowheads="1"/>
                    </pic:cNvPicPr>
                  </pic:nvPicPr>
                  <pic:blipFill>
                    <a:blip r:embed="rId14"/>
                    <a:stretch>
                      <a:fillRect/>
                    </a:stretch>
                  </pic:blipFill>
                  <pic:spPr bwMode="auto">
                    <a:xfrm>
                      <a:off x="0" y="0"/>
                      <a:ext cx="3964940" cy="541020"/>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314325" cy="285115"/>
            <wp:effectExtent l="0" t="0" r="0" b="0"/>
            <wp:docPr id="11"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2" descr=""/>
                    <pic:cNvPicPr>
                      <a:picLocks noChangeAspect="1" noChangeArrowheads="1"/>
                    </pic:cNvPicPr>
                  </pic:nvPicPr>
                  <pic:blipFill>
                    <a:blip r:embed="rId15"/>
                    <a:stretch>
                      <a:fillRect/>
                    </a:stretch>
                  </pic:blipFill>
                  <pic:spPr bwMode="auto">
                    <a:xfrm>
                      <a:off x="0" y="0"/>
                      <a:ext cx="314325" cy="285115"/>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фактическая плата за проезд пассажиров и провоз багажа, полученная на j-том маршруте в течение периода не менее 12 месяцев, предшествующего дате начала проведения расчетов НМЦК, руб.;</w:t>
      </w:r>
    </w:p>
    <w:p>
      <w:pPr>
        <w:pStyle w:val="ConsPlusNormal"/>
        <w:spacing w:before="0" w:after="0"/>
        <w:ind w:left="0" w:right="0" w:firstLine="709"/>
        <w:jc w:val="both"/>
        <w:rPr/>
      </w:pPr>
      <w:r>
        <w:rPr/>
        <w:drawing>
          <wp:inline distT="0" distB="0" distL="0" distR="0">
            <wp:extent cx="175260" cy="278130"/>
            <wp:effectExtent l="0" t="0" r="0" b="0"/>
            <wp:docPr id="12"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3" descr=""/>
                    <pic:cNvPicPr>
                      <a:picLocks noChangeAspect="1" noChangeArrowheads="1"/>
                    </pic:cNvPicPr>
                  </pic:nvPicPr>
                  <pic:blipFill>
                    <a:blip r:embed="rId16"/>
                    <a:stretch>
                      <a:fillRect/>
                    </a:stretch>
                  </pic:blipFill>
                  <pic:spPr bwMode="auto">
                    <a:xfrm>
                      <a:off x="0" y="0"/>
                      <a:ext cx="175260" cy="278130"/>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 xml:space="preserve">индекс изменения тарифов на перевозки пассажиров и багажа за каждый год срока действия контракта, определенный на основе регулируемых тарифов, установленных нормативным правовым актом субъекта Российской Федерации, если иное не установлено законом данного субъекта Российской Федерации, принятым в соответствии со </w:t>
      </w:r>
      <w:hyperlink r:id="rId17">
        <w:r>
          <w:rPr>
            <w:sz w:val="28"/>
            <w:szCs w:val="28"/>
          </w:rPr>
          <w:t>статьей 15</w:t>
        </w:r>
      </w:hyperlink>
      <w:r>
        <w:rPr>
          <w:sz w:val="28"/>
          <w:szCs w:val="28"/>
        </w:rPr>
        <w:t xml:space="preserve">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внесении изменений в отдельные законодательные акты Российской Федерации» или, в случае отсутствия такового акта, принимаемый равным индексу потребительских цен на платные услуги населению для t-ого года срока действия контракта, определяемому в соответствии с публикуемыми Минэкономразвития России прогнозами социально-экономического развития Российской Федерации;</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drawing>
          <wp:inline distT="0" distB="0" distL="0" distR="0">
            <wp:extent cx="409575" cy="285115"/>
            <wp:effectExtent l="0" t="0" r="0" b="0"/>
            <wp:docPr id="13"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4" descr=""/>
                    <pic:cNvPicPr>
                      <a:picLocks noChangeAspect="1" noChangeArrowheads="1"/>
                    </pic:cNvPicPr>
                  </pic:nvPicPr>
                  <pic:blipFill>
                    <a:blip r:embed="rId18"/>
                    <a:stretch>
                      <a:fillRect/>
                    </a:stretch>
                  </pic:blipFill>
                  <pic:spPr bwMode="auto">
                    <a:xfrm>
                      <a:off x="0" y="0"/>
                      <a:ext cx="409575" cy="285115"/>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 xml:space="preserve">определенный в соответствии с </w:t>
      </w:r>
      <w:hyperlink w:anchor="Par91" w:tgtFrame="5. Фактический пробег, приведенный по вместимости, транспортных средств, используемых для перевозок по j-ому маршруту в течение периода не менее 12 месяцев, предшествующего дате начала проведения расчетов НМЦК (_), определяется по формуле (6).">
        <w:r>
          <w:rPr>
            <w:sz w:val="28"/>
            <w:szCs w:val="28"/>
          </w:rPr>
          <w:t>пунктом 5</w:t>
        </w:r>
      </w:hyperlink>
      <w:r>
        <w:rPr>
          <w:sz w:val="28"/>
          <w:szCs w:val="28"/>
        </w:rPr>
        <w:t xml:space="preserve"> настоящего Порядка фактический пробег, приведенный по вместимости, транспортных средств, используемых для перевозок по j-ому маршруту в течение периода не менее 12 месяцев, предшествующего дате начала проведения расчетов НМЦК, место-км;</w:t>
      </w:r>
    </w:p>
    <w:p>
      <w:pPr>
        <w:pStyle w:val="ConsPlusNormal"/>
        <w:spacing w:before="0" w:after="0"/>
        <w:ind w:left="0" w:right="0" w:firstLine="709"/>
        <w:jc w:val="both"/>
        <w:rPr/>
      </w:pPr>
      <w:r>
        <w:rPr/>
        <w:drawing>
          <wp:inline distT="0" distB="0" distL="0" distR="0">
            <wp:extent cx="402590" cy="285115"/>
            <wp:effectExtent l="0" t="0" r="0" b="0"/>
            <wp:docPr id="14"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5" descr=""/>
                    <pic:cNvPicPr>
                      <a:picLocks noChangeAspect="1" noChangeArrowheads="1"/>
                    </pic:cNvPicPr>
                  </pic:nvPicPr>
                  <pic:blipFill>
                    <a:blip r:embed="rId19"/>
                    <a:stretch>
                      <a:fillRect/>
                    </a:stretch>
                  </pic:blipFill>
                  <pic:spPr bwMode="auto">
                    <a:xfrm>
                      <a:off x="0" y="0"/>
                      <a:ext cx="402590" cy="285115"/>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 xml:space="preserve">определенный в соответствии с </w:t>
      </w:r>
      <w:hyperlink w:anchor="Par99" w:tgtFrame="6. Планируемый пробег, приведенный по вместимости, транспортных средств, используемых для перевозок по j-ому маршруту в t-ом году срока действия контракта (_), определяется по формуле (7).">
        <w:r>
          <w:rPr>
            <w:sz w:val="28"/>
            <w:szCs w:val="28"/>
          </w:rPr>
          <w:t>пунктом 6</w:t>
        </w:r>
      </w:hyperlink>
      <w:r>
        <w:rPr>
          <w:sz w:val="28"/>
          <w:szCs w:val="28"/>
        </w:rPr>
        <w:t xml:space="preserve"> настоящего Порядка планируемый пробег, приведенный по вместимости транспортных средств, используемых для перевозок по j-ому маршруту в t-ом году срока действия контракта, место-км;</w:t>
      </w:r>
    </w:p>
    <w:p>
      <w:pPr>
        <w:pStyle w:val="ConsPlusNormal"/>
        <w:spacing w:before="0" w:after="0"/>
        <w:ind w:left="0" w:right="0" w:firstLine="709"/>
        <w:jc w:val="both"/>
        <w:rPr/>
      </w:pPr>
      <w:r>
        <w:rPr/>
        <w:drawing>
          <wp:inline distT="0" distB="0" distL="0" distR="0">
            <wp:extent cx="153670" cy="175260"/>
            <wp:effectExtent l="0" t="0" r="0" b="0"/>
            <wp:docPr id="15"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6" descr=""/>
                    <pic:cNvPicPr>
                      <a:picLocks noChangeAspect="1" noChangeArrowheads="1"/>
                    </pic:cNvPicPr>
                  </pic:nvPicPr>
                  <pic:blipFill>
                    <a:blip r:embed="rId20"/>
                    <a:stretch>
                      <a:fillRect/>
                    </a:stretch>
                  </pic:blipFill>
                  <pic:spPr bwMode="auto">
                    <a:xfrm>
                      <a:off x="0" y="0"/>
                      <a:ext cx="153670" cy="175260"/>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количество предусмотренных контрактом маршрутов;</w:t>
      </w:r>
    </w:p>
    <w:p>
      <w:pPr>
        <w:pStyle w:val="ConsPlusNormal"/>
        <w:spacing w:before="0" w:after="0"/>
        <w:ind w:left="0" w:right="0" w:firstLine="709"/>
        <w:jc w:val="both"/>
        <w:rPr/>
      </w:pPr>
      <w:r>
        <w:rPr/>
        <w:drawing>
          <wp:inline distT="0" distB="0" distL="0" distR="0">
            <wp:extent cx="197485" cy="175260"/>
            <wp:effectExtent l="0" t="0" r="0" b="0"/>
            <wp:docPr id="16"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7" descr=""/>
                    <pic:cNvPicPr>
                      <a:picLocks noChangeAspect="1" noChangeArrowheads="1"/>
                    </pic:cNvPicPr>
                  </pic:nvPicPr>
                  <pic:blipFill>
                    <a:blip r:embed="rId21"/>
                    <a:stretch>
                      <a:fillRect/>
                    </a:stretch>
                  </pic:blipFill>
                  <pic:spPr bwMode="auto">
                    <a:xfrm>
                      <a:off x="0" y="0"/>
                      <a:ext cx="197485" cy="175260"/>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срок действия контракта, лет.</w:t>
      </w:r>
    </w:p>
    <w:p>
      <w:pPr>
        <w:pStyle w:val="ConsPlusNormal"/>
        <w:spacing w:before="0" w:after="0"/>
        <w:ind w:left="0" w:right="0" w:firstLine="709"/>
        <w:jc w:val="both"/>
        <w:rPr/>
      </w:pPr>
      <w:r>
        <w:rPr>
          <w:sz w:val="28"/>
          <w:szCs w:val="28"/>
        </w:rPr>
        <w:t>В случае если до осуществления закупок перевозки по предусмотренным контрактом маршрутам не выполнялись или выполнялись в течение периода менее 12 месяцев, планируемая плата за проезд пассажиров и провоз багажа, оставляемая в распоряжении подрядчика, определяется по формуле (5).</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2011680" cy="519430"/>
            <wp:effectExtent l="0" t="0" r="0" b="0"/>
            <wp:docPr id="17"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8" descr=""/>
                    <pic:cNvPicPr>
                      <a:picLocks noChangeAspect="1" noChangeArrowheads="1"/>
                    </pic:cNvPicPr>
                  </pic:nvPicPr>
                  <pic:blipFill>
                    <a:blip r:embed="rId22"/>
                    <a:stretch>
                      <a:fillRect/>
                    </a:stretch>
                  </pic:blipFill>
                  <pic:spPr bwMode="auto">
                    <a:xfrm>
                      <a:off x="0" y="0"/>
                      <a:ext cx="2011680" cy="519430"/>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219710" cy="278130"/>
            <wp:effectExtent l="0" t="0" r="0" b="0"/>
            <wp:docPr id="18"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9" descr=""/>
                    <pic:cNvPicPr>
                      <a:picLocks noChangeAspect="1" noChangeArrowheads="1"/>
                    </pic:cNvPicPr>
                  </pic:nvPicPr>
                  <pic:blipFill>
                    <a:blip r:embed="rId23"/>
                    <a:stretch>
                      <a:fillRect/>
                    </a:stretch>
                  </pic:blipFill>
                  <pic:spPr bwMode="auto">
                    <a:xfrm>
                      <a:off x="0" y="0"/>
                      <a:ext cx="219710" cy="278130"/>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 xml:space="preserve">определенная в соответствии с </w:t>
      </w:r>
      <w:hyperlink w:anchor="Par107" w:tgtFrame="7. Максимальная стоимость работы транспортных средств i-го класса за весь срок действия контракта (_) определяется по формуле (8).">
        <w:r>
          <w:rPr>
            <w:sz w:val="28"/>
            <w:szCs w:val="28"/>
          </w:rPr>
          <w:t>пунктом 7</w:t>
        </w:r>
      </w:hyperlink>
      <w:r>
        <w:rPr>
          <w:sz w:val="28"/>
          <w:szCs w:val="28"/>
        </w:rPr>
        <w:t xml:space="preserve"> настоящего Порядка максимальная стоимость работы транспортных средств i-го класса за весь срок действия контракта, руб.;</w:t>
      </w:r>
    </w:p>
    <w:p>
      <w:pPr>
        <w:pStyle w:val="ConsPlusNormal"/>
        <w:spacing w:before="0" w:after="0"/>
        <w:ind w:left="0" w:right="0" w:firstLine="709"/>
        <w:jc w:val="both"/>
        <w:rPr/>
      </w:pPr>
      <w:r>
        <w:rPr/>
        <w:drawing>
          <wp:inline distT="0" distB="0" distL="0" distR="0">
            <wp:extent cx="248920" cy="278130"/>
            <wp:effectExtent l="0" t="0" r="0" b="0"/>
            <wp:docPr id="19"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20" descr=""/>
                    <pic:cNvPicPr>
                      <a:picLocks noChangeAspect="1" noChangeArrowheads="1"/>
                    </pic:cNvPicPr>
                  </pic:nvPicPr>
                  <pic:blipFill>
                    <a:blip r:embed="rId24"/>
                    <a:stretch>
                      <a:fillRect/>
                    </a:stretch>
                  </pic:blipFill>
                  <pic:spPr bwMode="auto">
                    <a:xfrm>
                      <a:off x="0" y="0"/>
                      <a:ext cx="248920" cy="278130"/>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коэффициент возмещения стоимости работы выручкой от оплаты проезда, рассчитанный как соотношение общей фактической платы за проезд пассажиров и провоз багажа по ранее установленным маршрутам к общей фактической себестоимости работы, совершенной всеми транспортными средствами на ранее установленных маршрутах за период, равный не менее 12 месяцев до даты начала проведения расчетов НМЦК;</w:t>
      </w:r>
    </w:p>
    <w:p>
      <w:pPr>
        <w:pStyle w:val="ConsPlusNormal"/>
        <w:spacing w:before="0" w:after="0"/>
        <w:ind w:left="0" w:right="0" w:firstLine="709"/>
        <w:jc w:val="both"/>
        <w:rPr/>
      </w:pPr>
      <w:r>
        <w:rPr/>
        <w:drawing>
          <wp:inline distT="0" distB="0" distL="0" distR="0">
            <wp:extent cx="153670" cy="219710"/>
            <wp:effectExtent l="0" t="0" r="0" b="0"/>
            <wp:docPr id="20"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1" descr=""/>
                    <pic:cNvPicPr>
                      <a:picLocks noChangeAspect="1" noChangeArrowheads="1"/>
                    </pic:cNvPicPr>
                  </pic:nvPicPr>
                  <pic:blipFill>
                    <a:blip r:embed="rId25"/>
                    <a:stretch>
                      <a:fillRect/>
                    </a:stretch>
                  </pic:blipFill>
                  <pic:spPr bwMode="auto">
                    <a:xfrm>
                      <a:off x="0" y="0"/>
                      <a:ext cx="153670" cy="219710"/>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количество предусмотренных контрактом классов транспортных средств.</w:t>
      </w:r>
    </w:p>
    <w:p>
      <w:pPr>
        <w:pStyle w:val="ConsPlusNormal"/>
        <w:spacing w:before="0" w:after="0"/>
        <w:ind w:left="0" w:right="0" w:firstLine="709"/>
        <w:jc w:val="both"/>
        <w:rPr/>
      </w:pPr>
      <w:bookmarkStart w:id="1" w:name="Par91"/>
      <w:bookmarkEnd w:id="1"/>
      <w:r>
        <w:rPr>
          <w:sz w:val="28"/>
          <w:szCs w:val="28"/>
        </w:rPr>
        <w:t>5. Фактический пробег, приведенный по вместимости, транспортных средств, используемых для перевозок по j-ому маршруту в течение периода не менее 12 месяцев, предшествующего дате начала проведения расчетов НМЦК (</w:t>
      </w:r>
      <w:r>
        <w:rPr/>
        <w:drawing>
          <wp:inline distT="0" distB="0" distL="0" distR="0">
            <wp:extent cx="409575" cy="285115"/>
            <wp:effectExtent l="0" t="0" r="0" b="0"/>
            <wp:docPr id="21"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2" descr=""/>
                    <pic:cNvPicPr>
                      <a:picLocks noChangeAspect="1" noChangeArrowheads="1"/>
                    </pic:cNvPicPr>
                  </pic:nvPicPr>
                  <pic:blipFill>
                    <a:blip r:embed="rId26"/>
                    <a:stretch>
                      <a:fillRect/>
                    </a:stretch>
                  </pic:blipFill>
                  <pic:spPr bwMode="auto">
                    <a:xfrm>
                      <a:off x="0" y="0"/>
                      <a:ext cx="409575" cy="285115"/>
                    </a:xfrm>
                    <a:prstGeom prst="rect">
                      <a:avLst/>
                    </a:prstGeom>
                  </pic:spPr>
                </pic:pic>
              </a:graphicData>
            </a:graphic>
          </wp:inline>
        </w:drawing>
      </w:r>
      <w:r>
        <w:rPr>
          <w:sz w:val="28"/>
          <w:szCs w:val="28"/>
        </w:rPr>
        <w:t>), определяется по формуле (6).</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2618740" cy="519430"/>
            <wp:effectExtent l="0" t="0" r="0" b="0"/>
            <wp:docPr id="22"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3" descr=""/>
                    <pic:cNvPicPr>
                      <a:picLocks noChangeAspect="1" noChangeArrowheads="1"/>
                    </pic:cNvPicPr>
                  </pic:nvPicPr>
                  <pic:blipFill>
                    <a:blip r:embed="rId27"/>
                    <a:stretch>
                      <a:fillRect/>
                    </a:stretch>
                  </pic:blipFill>
                  <pic:spPr bwMode="auto">
                    <a:xfrm>
                      <a:off x="0" y="0"/>
                      <a:ext cx="2618740" cy="519430"/>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285115" cy="285115"/>
            <wp:effectExtent l="0" t="0" r="0" b="0"/>
            <wp:docPr id="23"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4" descr=""/>
                    <pic:cNvPicPr>
                      <a:picLocks noChangeAspect="1" noChangeArrowheads="1"/>
                    </pic:cNvPicPr>
                  </pic:nvPicPr>
                  <pic:blipFill>
                    <a:blip r:embed="rId28"/>
                    <a:stretch>
                      <a:fillRect/>
                    </a:stretch>
                  </pic:blipFill>
                  <pic:spPr bwMode="auto">
                    <a:xfrm>
                      <a:off x="0" y="0"/>
                      <a:ext cx="285115" cy="285115"/>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фактический пробег транспортных средств i-го класса по j-ому маршруту в течение периода не менее 12 месяцев, предшествующего дате начала проведения расчетов НМЦК, км;</w:t>
      </w:r>
    </w:p>
    <w:p>
      <w:pPr>
        <w:pStyle w:val="ConsPlusNormal"/>
        <w:spacing w:before="0" w:after="0"/>
        <w:ind w:left="0" w:right="0" w:firstLine="709"/>
        <w:jc w:val="both"/>
        <w:rPr/>
      </w:pPr>
      <w:r>
        <w:rPr/>
        <w:drawing>
          <wp:inline distT="0" distB="0" distL="0" distR="0">
            <wp:extent cx="219710" cy="278130"/>
            <wp:effectExtent l="0" t="0" r="0" b="0"/>
            <wp:docPr id="24"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5" descr=""/>
                    <pic:cNvPicPr>
                      <a:picLocks noChangeAspect="1" noChangeArrowheads="1"/>
                    </pic:cNvPicPr>
                  </pic:nvPicPr>
                  <pic:blipFill>
                    <a:blip r:embed="rId29"/>
                    <a:stretch>
                      <a:fillRect/>
                    </a:stretch>
                  </pic:blipFill>
                  <pic:spPr bwMode="auto">
                    <a:xfrm>
                      <a:off x="0" y="0"/>
                      <a:ext cx="219710" cy="278130"/>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максимальная вместимость транспортных средств i-го класса, мест (определяется в соответствии с документацией завода-изготовителя для перевозок в междугородном сообщении по числу мест для сидения,</w:t>
        <w:br/>
        <w:t xml:space="preserve">в городском и пригородном сообщениях </w:t>
      </w:r>
      <w:r>
        <w:rPr>
          <w:rFonts w:eastAsia="" w:cs="Times New Roman" w:eastAsiaTheme="minorEastAsia"/>
          <w:color w:val="auto"/>
          <w:kern w:val="0"/>
          <w:sz w:val="28"/>
          <w:szCs w:val="28"/>
          <w:lang w:val="ru-RU" w:eastAsia="ru-RU" w:bidi="ar-SA"/>
        </w:rPr>
        <w:t>−</w:t>
      </w:r>
      <w:r>
        <w:rPr>
          <w:sz w:val="28"/>
          <w:szCs w:val="28"/>
        </w:rPr>
        <w:t xml:space="preserve"> с учетом мест для стоящих пассажиров);</w:t>
      </w:r>
    </w:p>
    <w:p>
      <w:pPr>
        <w:pStyle w:val="ConsPlusNormal"/>
        <w:spacing w:before="0" w:after="0"/>
        <w:ind w:left="0" w:right="0" w:firstLine="709"/>
        <w:jc w:val="both"/>
        <w:rPr/>
      </w:pPr>
      <w:r>
        <w:rPr/>
        <w:drawing>
          <wp:inline distT="0" distB="0" distL="0" distR="0">
            <wp:extent cx="182880" cy="197485"/>
            <wp:effectExtent l="0" t="0" r="0" b="0"/>
            <wp:docPr id="25"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6" descr=""/>
                    <pic:cNvPicPr>
                      <a:picLocks noChangeAspect="1" noChangeArrowheads="1"/>
                    </pic:cNvPicPr>
                  </pic:nvPicPr>
                  <pic:blipFill>
                    <a:blip r:embed="rId30"/>
                    <a:stretch>
                      <a:fillRect/>
                    </a:stretch>
                  </pic:blipFill>
                  <pic:spPr bwMode="auto">
                    <a:xfrm>
                      <a:off x="0" y="0"/>
                      <a:ext cx="182880" cy="197485"/>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количество предусмотренных контрактом классов транспортных средств на j-ом маршруте.</w:t>
      </w:r>
    </w:p>
    <w:p>
      <w:pPr>
        <w:pStyle w:val="ConsPlusNormal"/>
        <w:spacing w:before="0" w:after="0"/>
        <w:ind w:left="0" w:right="0" w:firstLine="709"/>
        <w:jc w:val="both"/>
        <w:rPr/>
      </w:pPr>
      <w:bookmarkStart w:id="2" w:name="Par99"/>
      <w:bookmarkEnd w:id="2"/>
      <w:r>
        <w:rPr>
          <w:sz w:val="28"/>
          <w:szCs w:val="28"/>
        </w:rPr>
        <w:t>6. Планируемый пробег, приведенный по вместимости, транспортных средств, используемых для перевозок по j-ому маршруту в t-ом году срока действия контракта (</w:t>
      </w:r>
      <w:r>
        <w:rPr/>
        <w:drawing>
          <wp:inline distT="0" distB="0" distL="0" distR="0">
            <wp:extent cx="402590" cy="285115"/>
            <wp:effectExtent l="0" t="0" r="0" b="0"/>
            <wp:docPr id="26"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7" descr=""/>
                    <pic:cNvPicPr>
                      <a:picLocks noChangeAspect="1" noChangeArrowheads="1"/>
                    </pic:cNvPicPr>
                  </pic:nvPicPr>
                  <pic:blipFill>
                    <a:blip r:embed="rId31"/>
                    <a:stretch>
                      <a:fillRect/>
                    </a:stretch>
                  </pic:blipFill>
                  <pic:spPr bwMode="auto">
                    <a:xfrm>
                      <a:off x="0" y="0"/>
                      <a:ext cx="402590" cy="285115"/>
                    </a:xfrm>
                    <a:prstGeom prst="rect">
                      <a:avLst/>
                    </a:prstGeom>
                  </pic:spPr>
                </pic:pic>
              </a:graphicData>
            </a:graphic>
          </wp:inline>
        </w:drawing>
      </w:r>
      <w:r>
        <w:rPr>
          <w:sz w:val="28"/>
          <w:szCs w:val="28"/>
        </w:rPr>
        <w:t>), определяется по формуле (7).</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2597150" cy="519430"/>
            <wp:effectExtent l="0" t="0" r="0" b="0"/>
            <wp:docPr id="27"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8" descr=""/>
                    <pic:cNvPicPr>
                      <a:picLocks noChangeAspect="1" noChangeArrowheads="1"/>
                    </pic:cNvPicPr>
                  </pic:nvPicPr>
                  <pic:blipFill>
                    <a:blip r:embed="rId32"/>
                    <a:stretch>
                      <a:fillRect/>
                    </a:stretch>
                  </pic:blipFill>
                  <pic:spPr bwMode="auto">
                    <a:xfrm>
                      <a:off x="0" y="0"/>
                      <a:ext cx="2597150" cy="519430"/>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278130" cy="285115"/>
            <wp:effectExtent l="0" t="0" r="0" b="0"/>
            <wp:docPr id="28"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9" descr=""/>
                    <pic:cNvPicPr>
                      <a:picLocks noChangeAspect="1" noChangeArrowheads="1"/>
                    </pic:cNvPicPr>
                  </pic:nvPicPr>
                  <pic:blipFill>
                    <a:blip r:embed="rId33"/>
                    <a:stretch>
                      <a:fillRect/>
                    </a:stretch>
                  </pic:blipFill>
                  <pic:spPr bwMode="auto">
                    <a:xfrm>
                      <a:off x="0" y="0"/>
                      <a:ext cx="278130" cy="285115"/>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предусмотренный контрактом пробег транспортных средств i-го класса по j-ому маршруту в t-ом году срока действия контракта, км;</w:t>
      </w:r>
    </w:p>
    <w:p>
      <w:pPr>
        <w:pStyle w:val="ConsPlusNormal"/>
        <w:spacing w:before="0" w:after="0"/>
        <w:ind w:left="0" w:right="0" w:firstLine="709"/>
        <w:jc w:val="both"/>
        <w:rPr/>
      </w:pPr>
      <w:r>
        <w:rPr/>
        <w:drawing>
          <wp:inline distT="0" distB="0" distL="0" distR="0">
            <wp:extent cx="219710" cy="278130"/>
            <wp:effectExtent l="0" t="0" r="0" b="0"/>
            <wp:docPr id="29" name="Рисунок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30" descr=""/>
                    <pic:cNvPicPr>
                      <a:picLocks noChangeAspect="1" noChangeArrowheads="1"/>
                    </pic:cNvPicPr>
                  </pic:nvPicPr>
                  <pic:blipFill>
                    <a:blip r:embed="rId34"/>
                    <a:stretch>
                      <a:fillRect/>
                    </a:stretch>
                  </pic:blipFill>
                  <pic:spPr bwMode="auto">
                    <a:xfrm>
                      <a:off x="0" y="0"/>
                      <a:ext cx="219710" cy="278130"/>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максимальная вместимость транспортных средств i-го класса, мест (определяется в соответствии с документацией завода-изготовителя для перевозок</w:t>
        <w:br/>
        <w:t>в междугородном сообщении - по числу мест для сидения, в городском</w:t>
        <w:br/>
        <w:t>и пригородном сообщениях - с учетом мест для стоящих пассажиров);</w:t>
      </w:r>
    </w:p>
    <w:p>
      <w:pPr>
        <w:pStyle w:val="ConsPlusNormal"/>
        <w:spacing w:before="0" w:after="0"/>
        <w:ind w:left="0" w:right="0" w:firstLine="709"/>
        <w:jc w:val="both"/>
        <w:rPr/>
      </w:pPr>
      <w:r>
        <w:rPr/>
        <w:drawing>
          <wp:inline distT="0" distB="0" distL="0" distR="0">
            <wp:extent cx="182880" cy="197485"/>
            <wp:effectExtent l="0" t="0" r="0" b="0"/>
            <wp:docPr id="30" name="Рисунок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31" descr=""/>
                    <pic:cNvPicPr>
                      <a:picLocks noChangeAspect="1" noChangeArrowheads="1"/>
                    </pic:cNvPicPr>
                  </pic:nvPicPr>
                  <pic:blipFill>
                    <a:blip r:embed="rId30"/>
                    <a:stretch>
                      <a:fillRect/>
                    </a:stretch>
                  </pic:blipFill>
                  <pic:spPr bwMode="auto">
                    <a:xfrm>
                      <a:off x="0" y="0"/>
                      <a:ext cx="182880" cy="197485"/>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количество предусмотренных контрактом классов транспортных средств на j-ом маршруте.</w:t>
      </w:r>
    </w:p>
    <w:p>
      <w:pPr>
        <w:pStyle w:val="ConsPlusNormal"/>
        <w:spacing w:before="0" w:after="0"/>
        <w:ind w:left="0" w:right="0" w:firstLine="709"/>
        <w:jc w:val="both"/>
        <w:rPr/>
      </w:pPr>
      <w:bookmarkStart w:id="3" w:name="Par107"/>
      <w:bookmarkEnd w:id="3"/>
      <w:r>
        <w:rPr>
          <w:sz w:val="28"/>
          <w:szCs w:val="28"/>
        </w:rPr>
        <w:t>7. Максимальная стоимость работы транспортных средств i-го класса за весь срок действия контракта (</w:t>
      </w:r>
      <w:r>
        <w:rPr/>
        <w:drawing>
          <wp:inline distT="0" distB="0" distL="0" distR="0">
            <wp:extent cx="219710" cy="278130"/>
            <wp:effectExtent l="0" t="0" r="0" b="0"/>
            <wp:docPr id="31" name="Рисунок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2" descr=""/>
                    <pic:cNvPicPr>
                      <a:picLocks noChangeAspect="1" noChangeArrowheads="1"/>
                    </pic:cNvPicPr>
                  </pic:nvPicPr>
                  <pic:blipFill>
                    <a:blip r:embed="rId35"/>
                    <a:stretch>
                      <a:fillRect/>
                    </a:stretch>
                  </pic:blipFill>
                  <pic:spPr bwMode="auto">
                    <a:xfrm>
                      <a:off x="0" y="0"/>
                      <a:ext cx="219710" cy="278130"/>
                    </a:xfrm>
                    <a:prstGeom prst="rect">
                      <a:avLst/>
                    </a:prstGeom>
                  </pic:spPr>
                </pic:pic>
              </a:graphicData>
            </a:graphic>
          </wp:inline>
        </w:drawing>
      </w:r>
      <w:r>
        <w:rPr>
          <w:sz w:val="28"/>
          <w:szCs w:val="28"/>
        </w:rPr>
        <w:t>) определяется по формуле (8).</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r>
      <m:oMath xmlns:m="http://schemas.openxmlformats.org/officeDocument/2006/math">
        <m:sSub>
          <m:e>
            <m:r>
              <w:rPr>
                <w:rFonts w:ascii="Cambria Math" w:hAnsi="Cambria Math"/>
              </w:rPr>
              <m:t xml:space="preserve">С</m:t>
            </m:r>
          </m:e>
          <m:sub>
            <m:r>
              <w:rPr>
                <w:rFonts w:ascii="Cambria Math" w:hAnsi="Cambria Math"/>
              </w:rPr>
              <m:t xml:space="preserve">i</m:t>
            </m:r>
          </m:sub>
        </m:sSub>
        <m:r>
          <w:rPr>
            <w:rFonts w:ascii="Cambria Math" w:hAnsi="Cambria Math"/>
          </w:rPr>
          <m:t xml:space="preserve">=</m:t>
        </m:r>
        <m:nary>
          <m:naryPr>
            <m:chr m:val="∑"/>
          </m:naryPr>
          <m:sub>
            <m:r>
              <w:rPr>
                <w:rFonts w:ascii="Cambria Math" w:hAnsi="Cambria Math"/>
              </w:rPr>
              <m:t xml:space="preserve">t</m:t>
            </m:r>
            <m:r>
              <w:rPr>
                <w:rFonts w:ascii="Cambria Math" w:hAnsi="Cambria Math"/>
              </w:rPr>
              <m:t xml:space="preserve">=</m:t>
            </m:r>
            <m:r>
              <w:rPr>
                <w:rFonts w:ascii="Cambria Math" w:hAnsi="Cambria Math"/>
              </w:rPr>
              <m:t xml:space="preserve">1</m:t>
            </m:r>
          </m:sub>
          <m:sup>
            <m:r>
              <w:rPr>
                <w:rFonts w:ascii="Cambria Math" w:hAnsi="Cambria Math"/>
              </w:rPr>
              <m:t xml:space="preserve">m</m:t>
            </m:r>
          </m:sup>
          <m:e>
            <m:d>
              <m:dPr>
                <m:begChr m:val="("/>
                <m:endChr m:val=")"/>
              </m:dPr>
              <m:e>
                <m:d>
                  <m:dPr>
                    <m:begChr m:val="("/>
                    <m:endChr m:val=")"/>
                  </m:dPr>
                  <m:e>
                    <m:f>
                      <m:fPr>
                        <m:type m:val="lin"/>
                      </m:fPr>
                      <m:num>
                        <m:sSub>
                          <m:e>
                            <m:r>
                              <w:rPr>
                                <w:rFonts w:ascii="Cambria Math" w:hAnsi="Cambria Math"/>
                              </w:rPr>
                              <m:t xml:space="preserve">S</m:t>
                            </m:r>
                          </m:e>
                          <m:sub>
                            <m:r>
                              <w:rPr>
                                <w:rFonts w:ascii="Cambria Math" w:hAnsi="Cambria Math"/>
                              </w:rPr>
                              <m:t xml:space="preserve">ti</m:t>
                            </m:r>
                          </m:sub>
                        </m:sSub>
                        <m:r>
                          <w:rPr>
                            <w:rFonts w:ascii="Cambria Math" w:hAnsi="Cambria Math"/>
                          </w:rPr>
                          <m:t xml:space="preserve">×</m:t>
                        </m:r>
                        <m:r>
                          <w:rPr>
                            <w:rFonts w:ascii="Cambria Math" w:hAnsi="Cambria Math"/>
                          </w:rPr>
                          <m:t xml:space="preserve">R</m:t>
                        </m:r>
                        <m:r>
                          <w:rPr>
                            <w:rFonts w:ascii="Cambria Math" w:hAnsi="Cambria Math"/>
                          </w:rPr>
                          <m:t xml:space="preserve">×</m:t>
                        </m:r>
                        <m:sSub>
                          <m:e>
                            <m:r>
                              <w:rPr>
                                <w:rFonts w:ascii="Cambria Math" w:hAnsi="Cambria Math"/>
                              </w:rPr>
                              <m:t xml:space="preserve">L</m:t>
                            </m:r>
                          </m:e>
                          <m:sub>
                            <m:r>
                              <w:rPr>
                                <w:rFonts w:ascii="Cambria Math" w:hAnsi="Cambria Math"/>
                              </w:rPr>
                              <m:t xml:space="preserve">ti</m:t>
                            </m:r>
                          </m:sub>
                        </m:sSub>
                      </m:num>
                      <m:den>
                        <m:r>
                          <w:rPr>
                            <w:rFonts w:ascii="Cambria Math" w:hAnsi="Cambria Math"/>
                          </w:rPr>
                          <m:t xml:space="preserve">β</m:t>
                        </m:r>
                      </m:den>
                    </m:f>
                  </m:e>
                </m:d>
                <m:r>
                  <w:rPr>
                    <w:rFonts w:ascii="Cambria Math" w:hAnsi="Cambria Math"/>
                  </w:rPr>
                  <m:t xml:space="preserve">+</m:t>
                </m:r>
                <m:sSub>
                  <m:e>
                    <m:r>
                      <w:rPr>
                        <w:rFonts w:ascii="Cambria Math" w:hAnsi="Cambria Math"/>
                      </w:rPr>
                      <m:t xml:space="preserve">M</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Ц</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I</m:t>
                    </m:r>
                  </m:e>
                  <m:sub>
                    <m:r>
                      <w:rPr>
                        <w:rFonts w:ascii="Cambria Math" w:hAnsi="Cambria Math"/>
                      </w:rPr>
                      <m:t xml:space="preserve">mot</m:t>
                    </m:r>
                  </m:sub>
                </m:sSub>
                <m:r>
                  <w:rPr>
                    <w:rFonts w:ascii="Cambria Math" w:hAnsi="Cambria Math"/>
                  </w:rPr>
                  <m:t xml:space="preserve">×</m:t>
                </m:r>
                <m:f>
                  <m:fPr>
                    <m:type m:val="lin"/>
                  </m:fPr>
                  <m:num>
                    <m:r>
                      <w:rPr>
                        <w:rFonts w:ascii="Cambria Math" w:hAnsi="Cambria Math"/>
                      </w:rPr>
                      <m:t xml:space="preserve">r</m:t>
                    </m:r>
                  </m:num>
                  <m:den>
                    <m:d>
                      <m:dPr>
                        <m:begChr m:val="("/>
                        <m:endChr m:val=")"/>
                      </m:dPr>
                      <m:e>
                        <m:r>
                          <w:rPr>
                            <w:rFonts w:ascii="Cambria Math" w:hAnsi="Cambria Math"/>
                          </w:rPr>
                          <m:t xml:space="preserve">12</m:t>
                        </m:r>
                        <m:r>
                          <w:rPr>
                            <w:rFonts w:ascii="Cambria Math" w:hAnsi="Cambria Math"/>
                          </w:rPr>
                          <m:t xml:space="preserve">×</m:t>
                        </m:r>
                        <m:sSub>
                          <m:e>
                            <m:r>
                              <w:rPr>
                                <w:rFonts w:ascii="Cambria Math" w:hAnsi="Cambria Math"/>
                              </w:rPr>
                              <m:t xml:space="preserve">T</m:t>
                            </m:r>
                          </m:e>
                          <m:sub/>
                        </m:sSub>
                      </m:e>
                    </m:d>
                  </m:den>
                </m:f>
              </m:e>
            </m:d>
          </m:e>
        </m:nary>
      </m:oMath>
      <w:r>
        <w:rPr>
          <w:sz w:val="28"/>
          <w:szCs w:val="28"/>
        </w:rPr>
        <w:t>, руб. (8)</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219710" cy="278130"/>
            <wp:effectExtent l="0" t="0" r="0" b="0"/>
            <wp:docPr id="32" name="Рисунок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34" descr=""/>
                    <pic:cNvPicPr>
                      <a:picLocks noChangeAspect="1" noChangeArrowheads="1"/>
                    </pic:cNvPicPr>
                  </pic:nvPicPr>
                  <pic:blipFill>
                    <a:blip r:embed="rId36"/>
                    <a:stretch>
                      <a:fillRect/>
                    </a:stretch>
                  </pic:blipFill>
                  <pic:spPr bwMode="auto">
                    <a:xfrm>
                      <a:off x="0" y="0"/>
                      <a:ext cx="219710" cy="278130"/>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 xml:space="preserve">определенные в соответствии с </w:t>
      </w:r>
      <w:hyperlink w:anchor="Par151" w:tgtFrame="РАСЧЕТ МАКСИМАЛЬНОЙ СЕБЕСТОИМОСТИ 1 КМ ПРОБЕГА АВТОБУСОВ">
        <w:r>
          <w:rPr>
            <w:sz w:val="28"/>
            <w:szCs w:val="28"/>
          </w:rPr>
          <w:t>приложениями № 1</w:t>
        </w:r>
      </w:hyperlink>
      <w:r>
        <w:rPr>
          <w:sz w:val="28"/>
          <w:szCs w:val="28"/>
        </w:rPr>
        <w:t xml:space="preserve">, </w:t>
      </w:r>
      <w:hyperlink w:anchor="Par500" w:tgtFrame="РАСЧЕТ МАКСИМАЛЬНОЙ СЕБЕСТОИМОСТИ 1 КМ ПРОБЕГА ТРАМВАЕВ">
        <w:r>
          <w:rPr>
            <w:sz w:val="28"/>
            <w:szCs w:val="28"/>
          </w:rPr>
          <w:t>2</w:t>
        </w:r>
      </w:hyperlink>
      <w:r>
        <w:rPr>
          <w:sz w:val="28"/>
          <w:szCs w:val="28"/>
        </w:rPr>
        <w:t xml:space="preserve"> и </w:t>
      </w:r>
      <w:hyperlink w:anchor="Par839" w:tgtFrame="РАСЧЕТ МАКСИМАЛЬНОЙ СЕБЕСТОИМОСТИ 1 КМ ПРОБЕГА ТРОЛЛЕЙБУСОВ">
        <w:r>
          <w:rPr>
            <w:sz w:val="28"/>
            <w:szCs w:val="28"/>
          </w:rPr>
          <w:t>3</w:t>
        </w:r>
      </w:hyperlink>
      <w:r>
        <w:rPr>
          <w:sz w:val="28"/>
          <w:szCs w:val="28"/>
        </w:rPr>
        <w:t xml:space="preserve"> к настоящему Порядку максимальные себестоимости 1 км пробега соответственно автобусов, трамваев и троллейбусов i-го класса в t-ый год срока действия контракта, руб./км;</w:t>
      </w:r>
    </w:p>
    <w:p>
      <w:pPr>
        <w:pStyle w:val="ConsPlusNormal"/>
        <w:spacing w:before="0" w:after="0"/>
        <w:ind w:left="0" w:right="0" w:firstLine="709"/>
        <w:jc w:val="both"/>
        <w:rPr/>
      </w:pPr>
      <w:r>
        <w:rPr/>
        <w:drawing>
          <wp:inline distT="0" distB="0" distL="0" distR="0">
            <wp:extent cx="182880" cy="197485"/>
            <wp:effectExtent l="0" t="0" r="0" b="0"/>
            <wp:docPr id="33" name="Рисунок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35" descr=""/>
                    <pic:cNvPicPr>
                      <a:picLocks noChangeAspect="1" noChangeArrowheads="1"/>
                    </pic:cNvPicPr>
                  </pic:nvPicPr>
                  <pic:blipFill>
                    <a:blip r:embed="rId37"/>
                    <a:stretch>
                      <a:fillRect/>
                    </a:stretch>
                  </pic:blipFill>
                  <pic:spPr bwMode="auto">
                    <a:xfrm>
                      <a:off x="0" y="0"/>
                      <a:ext cx="182880" cy="197485"/>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уровень рентабельности. До 1 января 2022 г. при расчете принимают значение 1,048; после 1 января 2022 г. - 1,096;</w:t>
      </w:r>
    </w:p>
    <w:p>
      <w:pPr>
        <w:pStyle w:val="ConsPlusNormal"/>
        <w:spacing w:before="0" w:after="0"/>
        <w:ind w:left="0" w:right="0" w:firstLine="709"/>
        <w:jc w:val="both"/>
        <w:rPr/>
      </w:pPr>
      <w:r>
        <w:rPr/>
        <w:drawing>
          <wp:inline distT="0" distB="0" distL="0" distR="0">
            <wp:extent cx="219710" cy="278130"/>
            <wp:effectExtent l="0" t="0" r="0" b="0"/>
            <wp:docPr id="34" name="Рисунок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36" descr=""/>
                    <pic:cNvPicPr>
                      <a:picLocks noChangeAspect="1" noChangeArrowheads="1"/>
                    </pic:cNvPicPr>
                  </pic:nvPicPr>
                  <pic:blipFill>
                    <a:blip r:embed="rId38"/>
                    <a:stretch>
                      <a:fillRect/>
                    </a:stretch>
                  </pic:blipFill>
                  <pic:spPr bwMode="auto">
                    <a:xfrm>
                      <a:off x="0" y="0"/>
                      <a:ext cx="219710" cy="278130"/>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предусмотренный контрактом планируемый пробег транспортных средств i-го класса в t-ом году срока действия контракта (может определяться</w:t>
        <w:br/>
        <w:t>в соответствии с длиной рейсов и частотой движения по периодам суток и дням недели, установленными Документом планирования регулярных перевозок для каждого из маршрутов, с учетом планируемых изменений трасс и параметров движения в период исполнения контракта), км;</w:t>
      </w:r>
    </w:p>
    <w:p>
      <w:pPr>
        <w:pStyle w:val="ConsPlusNormal"/>
        <w:spacing w:before="0" w:after="0"/>
        <w:ind w:left="0" w:right="0" w:firstLine="709"/>
        <w:jc w:val="both"/>
        <w:rPr/>
      </w:pPr>
      <w:r>
        <w:rPr/>
        <w:drawing>
          <wp:inline distT="0" distB="0" distL="0" distR="0">
            <wp:extent cx="181610" cy="248285"/>
            <wp:effectExtent l="0" t="0" r="0" b="0"/>
            <wp:docPr id="35"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1" descr=""/>
                    <pic:cNvPicPr>
                      <a:picLocks noChangeAspect="1" noChangeArrowheads="1"/>
                    </pic:cNvPicPr>
                  </pic:nvPicPr>
                  <pic:blipFill>
                    <a:blip r:embed="rId39"/>
                    <a:stretch>
                      <a:fillRect/>
                    </a:stretch>
                  </pic:blipFill>
                  <pic:spPr bwMode="auto">
                    <a:xfrm>
                      <a:off x="0" y="0"/>
                      <a:ext cx="181610" cy="248285"/>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 xml:space="preserve">коэффициент использования пробега. При расчете принимают значения, равные средним фактически сложившимся при осуществлении регулярных перевозок по регулируемым тарифам автомобильным транспортом и городским наземным электрическим транспортом общего пользования в территориально-административном образовании; при отсутствии такой информации принимают значения, равные 0,9 при перевозках в городском сообщении, 0,91 </w:t>
      </w:r>
      <w:r>
        <w:rPr>
          <w:rFonts w:eastAsia="" w:cs="Times New Roman" w:eastAsiaTheme="minorEastAsia"/>
          <w:sz w:val="28"/>
          <w:szCs w:val="28"/>
          <w:lang w:eastAsia="ru-RU"/>
        </w:rPr>
        <w:t>−</w:t>
      </w:r>
      <w:r>
        <w:rPr>
          <w:sz w:val="28"/>
          <w:szCs w:val="28"/>
        </w:rPr>
        <w:t xml:space="preserve"> в пригородном сообщении и 0,95 </w:t>
      </w:r>
      <w:r>
        <w:rPr>
          <w:rFonts w:eastAsia="" w:cs="Times New Roman" w:eastAsiaTheme="minorEastAsia"/>
          <w:sz w:val="28"/>
          <w:szCs w:val="28"/>
          <w:lang w:eastAsia="ru-RU"/>
        </w:rPr>
        <w:t>−</w:t>
      </w:r>
      <w:r>
        <w:rPr>
          <w:sz w:val="28"/>
          <w:szCs w:val="28"/>
        </w:rPr>
        <w:t xml:space="preserve"> в междугородном сообщении;</w:t>
      </w:r>
    </w:p>
    <w:p>
      <w:pPr>
        <w:pStyle w:val="ConsPlusNormal"/>
        <w:spacing w:before="0" w:after="0"/>
        <w:ind w:left="0" w:right="0" w:firstLine="709"/>
        <w:jc w:val="both"/>
        <w:rPr/>
      </w:pPr>
      <w:r>
        <w:rPr/>
        <w:drawing>
          <wp:inline distT="0" distB="0" distL="0" distR="0">
            <wp:extent cx="263525" cy="278130"/>
            <wp:effectExtent l="0" t="0" r="0" b="0"/>
            <wp:docPr id="36"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39" descr=""/>
                    <pic:cNvPicPr>
                      <a:picLocks noChangeAspect="1" noChangeArrowheads="1"/>
                    </pic:cNvPicPr>
                  </pic:nvPicPr>
                  <pic:blipFill>
                    <a:blip r:embed="rId40"/>
                    <a:stretch>
                      <a:fillRect/>
                    </a:stretch>
                  </pic:blipFill>
                  <pic:spPr bwMode="auto">
                    <a:xfrm>
                      <a:off x="0" y="0"/>
                      <a:ext cx="263525" cy="278130"/>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установленное реестром маршрутов в отношении маршрутов, предусмотренных контрактом, максимальное количество транспортных средств i-го класса, ед.;</w:t>
      </w:r>
    </w:p>
    <w:p>
      <w:pPr>
        <w:pStyle w:val="ConsPlusNormal"/>
        <w:spacing w:before="0" w:after="0"/>
        <w:ind w:left="0" w:right="0" w:firstLine="709"/>
        <w:jc w:val="both"/>
        <w:rPr/>
      </w:pPr>
      <w:r>
        <w:rPr/>
        <w:drawing>
          <wp:inline distT="0" distB="0" distL="0" distR="0">
            <wp:extent cx="248920" cy="278130"/>
            <wp:effectExtent l="0" t="0" r="0" b="0"/>
            <wp:docPr id="37" name="Рисунок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40" descr=""/>
                    <pic:cNvPicPr>
                      <a:picLocks noChangeAspect="1" noChangeArrowheads="1"/>
                    </pic:cNvPicPr>
                  </pic:nvPicPr>
                  <pic:blipFill>
                    <a:blip r:embed="rId41"/>
                    <a:stretch>
                      <a:fillRect/>
                    </a:stretch>
                  </pic:blipFill>
                  <pic:spPr bwMode="auto">
                    <a:xfrm>
                      <a:off x="0" y="0"/>
                      <a:ext cx="248920" cy="278130"/>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 xml:space="preserve">определенная в соответствии с </w:t>
      </w:r>
      <w:hyperlink w:anchor="Par128" w:tgtFrame="8. Средняя рыночная стоимость новых транспортных средств i-го класса на дату начала проведения расчета НМЦК (_) определяется одним из следующих способов:">
        <w:r>
          <w:rPr>
            <w:sz w:val="28"/>
            <w:szCs w:val="28"/>
          </w:rPr>
          <w:t>пунктом 8</w:t>
        </w:r>
      </w:hyperlink>
      <w:r>
        <w:rPr>
          <w:sz w:val="28"/>
          <w:szCs w:val="28"/>
        </w:rPr>
        <w:t xml:space="preserve"> настоящего Порядка средняя рыночная стоимость новых транспортных средств i-го класса на дату начала проведения расчета НМЦК, руб.;</w:t>
      </w:r>
    </w:p>
    <w:p>
      <w:pPr>
        <w:pStyle w:val="ConsPlusNormal"/>
        <w:spacing w:before="0" w:after="0"/>
        <w:ind w:left="0" w:right="0" w:firstLine="709"/>
        <w:jc w:val="both"/>
        <w:rPr/>
      </w:pPr>
      <w:r>
        <w:rPr/>
        <w:drawing>
          <wp:inline distT="0" distB="0" distL="0" distR="0">
            <wp:extent cx="307340" cy="278130"/>
            <wp:effectExtent l="0" t="0" r="0" b="0"/>
            <wp:docPr id="38" name="Рисунок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41" descr=""/>
                    <pic:cNvPicPr>
                      <a:picLocks noChangeAspect="1" noChangeArrowheads="1"/>
                    </pic:cNvPicPr>
                  </pic:nvPicPr>
                  <pic:blipFill>
                    <a:blip r:embed="rId42"/>
                    <a:stretch>
                      <a:fillRect/>
                    </a:stretch>
                  </pic:blipFill>
                  <pic:spPr bwMode="auto">
                    <a:xfrm>
                      <a:off x="0" y="0"/>
                      <a:ext cx="307340" cy="278130"/>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индекс цен на машины и оборудование для t-ого года срока действия контракта (принимается равным прогнозному индексу цен производителей на продукцию машиностроения для каждого года срока действия контракта, определяемому Минэкономразвития России в прогнозе социально-экономического развития Российской Федерации (если срок действия контракта превышает срок прогноза, индекс цен производителей на продукцию машиностроения для каждого года срока действия контракта, не указанного в прогнозе, принимается равным индексу цен производителей на продукцию машиностроения, указанному для последнего года прогноза));</w:t>
      </w:r>
    </w:p>
    <w:p>
      <w:pPr>
        <w:pStyle w:val="ConsPlusNormal"/>
        <w:spacing w:before="0" w:after="0"/>
        <w:ind w:left="0" w:right="0" w:firstLine="709"/>
        <w:jc w:val="both"/>
        <w:rPr/>
      </w:pPr>
      <w:r>
        <w:rPr/>
        <w:drawing>
          <wp:inline distT="0" distB="0" distL="0" distR="0">
            <wp:extent cx="226695" cy="278130"/>
            <wp:effectExtent l="0" t="0" r="0" b="0"/>
            <wp:docPr id="39" name="Рисунок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42" descr=""/>
                    <pic:cNvPicPr>
                      <a:picLocks noChangeAspect="1" noChangeArrowheads="1"/>
                    </pic:cNvPicPr>
                  </pic:nvPicPr>
                  <pic:blipFill>
                    <a:blip r:embed="rId43"/>
                    <a:stretch>
                      <a:fillRect/>
                    </a:stretch>
                  </pic:blipFill>
                  <pic:spPr bwMode="auto">
                    <a:xfrm>
                      <a:off x="0" y="0"/>
                      <a:ext cx="226695" cy="278130"/>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для автобусов срок полезного использования транспортных средств i-го класса, определенный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 №1</w:t>
      </w:r>
      <w:r>
        <w:rPr>
          <w:rStyle w:val="Style20"/>
          <w:sz w:val="28"/>
          <w:szCs w:val="28"/>
        </w:rPr>
        <w:footnoteReference w:id="2"/>
      </w:r>
      <w:r>
        <w:rPr>
          <w:sz w:val="28"/>
          <w:szCs w:val="28"/>
        </w:rPr>
        <w:t xml:space="preserve">, лет; для троллейбусов и трамваев </w:t>
      </w:r>
      <w:r>
        <w:rPr>
          <w:rFonts w:eastAsia="" w:cs="Times New Roman" w:eastAsiaTheme="minorEastAsia"/>
          <w:color w:val="auto"/>
          <w:kern w:val="0"/>
          <w:sz w:val="28"/>
          <w:szCs w:val="28"/>
          <w:lang w:val="ru-RU" w:eastAsia="ru-RU" w:bidi="ar-SA"/>
        </w:rPr>
        <w:t>−</w:t>
      </w:r>
      <w:r>
        <w:rPr>
          <w:sz w:val="28"/>
          <w:szCs w:val="28"/>
        </w:rPr>
        <w:t xml:space="preserve"> срок службы</w:t>
      </w:r>
      <w:r>
        <w:rPr>
          <w:rStyle w:val="Style20"/>
          <w:sz w:val="28"/>
          <w:szCs w:val="28"/>
        </w:rPr>
        <w:footnoteReference w:id="3"/>
      </w:r>
      <w:r>
        <w:rPr>
          <w:sz w:val="28"/>
          <w:szCs w:val="28"/>
        </w:rPr>
        <w:t xml:space="preserve"> транспортных средств i-го класса (принимается в соответствии с </w:t>
      </w:r>
      <w:hyperlink w:anchor="Par186" w:tgtFrame="Коэффициенты, учитывающие дифференциацию заработных плат">
        <w:r>
          <w:rPr>
            <w:sz w:val="28"/>
            <w:szCs w:val="28"/>
          </w:rPr>
          <w:t>таблицей 1</w:t>
        </w:r>
      </w:hyperlink>
      <w:r>
        <w:rPr>
          <w:sz w:val="28"/>
          <w:szCs w:val="28"/>
        </w:rPr>
        <w:t xml:space="preserve">), лет; </w:t>
      </w:r>
    </w:p>
    <w:p>
      <w:pPr>
        <w:pStyle w:val="ConsPlusNormal"/>
        <w:spacing w:before="0" w:after="0"/>
        <w:ind w:left="0" w:right="0" w:firstLine="709"/>
        <w:jc w:val="right"/>
        <w:rPr/>
      </w:pPr>
      <w:r>
        <w:rPr>
          <w:sz w:val="28"/>
          <w:szCs w:val="28"/>
        </w:rPr>
        <w:t>Таблица 1</w:t>
      </w:r>
    </w:p>
    <w:p>
      <w:pPr>
        <w:pStyle w:val="ConsPlusNormal"/>
        <w:spacing w:before="0" w:after="0"/>
        <w:ind w:left="0" w:right="0" w:firstLine="709"/>
        <w:jc w:val="both"/>
        <w:rPr>
          <w:sz w:val="28"/>
          <w:szCs w:val="28"/>
        </w:rPr>
      </w:pPr>
      <w:r>
        <w:rPr>
          <w:sz w:val="28"/>
          <w:szCs w:val="28"/>
        </w:rPr>
      </w:r>
    </w:p>
    <w:p>
      <w:pPr>
        <w:pStyle w:val="ConsPlusTitle"/>
        <w:spacing w:before="0" w:after="0"/>
        <w:ind w:left="0" w:right="0" w:firstLine="709"/>
        <w:jc w:val="center"/>
        <w:rPr/>
      </w:pPr>
      <w:r>
        <w:rPr>
          <w:rFonts w:cs="Times New Roman" w:ascii="Times New Roman" w:hAnsi="Times New Roman"/>
          <w:sz w:val="28"/>
          <w:szCs w:val="28"/>
        </w:rPr>
        <w:t>Срок службы трамваев и троллейбусов</w:t>
      </w:r>
    </w:p>
    <w:p>
      <w:pPr>
        <w:pStyle w:val="ConsPlusNormal"/>
        <w:spacing w:before="0" w:after="0"/>
        <w:ind w:left="0" w:right="0" w:firstLine="709"/>
        <w:jc w:val="both"/>
        <w:rPr>
          <w:sz w:val="28"/>
          <w:szCs w:val="28"/>
        </w:rPr>
      </w:pPr>
      <w:r>
        <w:rPr>
          <w:sz w:val="28"/>
          <w:szCs w:val="28"/>
        </w:rPr>
      </w:r>
    </w:p>
    <w:tbl>
      <w:tblPr>
        <w:tblW w:w="9998" w:type="dxa"/>
        <w:jc w:val="center"/>
        <w:tblInd w:w="0" w:type="dxa"/>
        <w:tblLayout w:type="fixed"/>
        <w:tblCellMar>
          <w:top w:w="102" w:type="dxa"/>
          <w:left w:w="62" w:type="dxa"/>
          <w:bottom w:w="102" w:type="dxa"/>
          <w:right w:w="62" w:type="dxa"/>
        </w:tblCellMar>
        <w:tblLook w:val="0000" w:noVBand="0" w:noHBand="0" w:lastColumn="0" w:firstColumn="0" w:lastRow="0" w:firstRow="0"/>
      </w:tblPr>
      <w:tblGrid>
        <w:gridCol w:w="508"/>
        <w:gridCol w:w="3820"/>
        <w:gridCol w:w="3260"/>
        <w:gridCol w:w="2409"/>
      </w:tblGrid>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bidi w:val="0"/>
              <w:spacing w:before="0" w:after="0"/>
              <w:ind w:left="0" w:right="0" w:hanging="0"/>
              <w:jc w:val="center"/>
              <w:rPr>
                <w:sz w:val="28"/>
                <w:szCs w:val="28"/>
              </w:rPr>
            </w:pPr>
            <w:r>
              <w:rPr>
                <w:sz w:val="28"/>
                <w:szCs w:val="28"/>
              </w:rPr>
              <w:t xml:space="preserve">№ </w:t>
            </w:r>
            <w:r>
              <w:rPr>
                <w:sz w:val="28"/>
                <w:szCs w:val="28"/>
              </w:rPr>
              <w:t>п/п</w:t>
            </w:r>
          </w:p>
        </w:tc>
        <w:tc>
          <w:tcPr>
            <w:tcW w:w="382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0" w:after="0"/>
              <w:ind w:left="0" w:right="0" w:firstLine="709"/>
              <w:jc w:val="center"/>
              <w:rPr>
                <w:sz w:val="28"/>
                <w:szCs w:val="28"/>
              </w:rPr>
            </w:pPr>
            <w:r>
              <w:rPr>
                <w:sz w:val="28"/>
                <w:szCs w:val="28"/>
              </w:rPr>
              <w:t>Вид транспорта</w:t>
            </w:r>
          </w:p>
        </w:tc>
        <w:tc>
          <w:tcPr>
            <w:tcW w:w="326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0" w:after="0"/>
              <w:ind w:left="0" w:right="0" w:firstLine="709"/>
              <w:jc w:val="center"/>
              <w:rPr>
                <w:sz w:val="28"/>
                <w:szCs w:val="28"/>
              </w:rPr>
            </w:pPr>
            <w:r>
              <w:rPr>
                <w:sz w:val="28"/>
                <w:szCs w:val="28"/>
              </w:rPr>
              <w:t>Класс транспортных средств</w:t>
            </w:r>
          </w:p>
        </w:tc>
        <w:tc>
          <w:tcPr>
            <w:tcW w:w="2409"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0" w:after="0"/>
              <w:ind w:left="0" w:right="0" w:firstLine="709"/>
              <w:jc w:val="center"/>
              <w:rPr>
                <w:sz w:val="28"/>
                <w:szCs w:val="28"/>
              </w:rPr>
            </w:pPr>
            <w:r>
              <w:rPr>
                <w:sz w:val="28"/>
                <w:szCs w:val="28"/>
              </w:rPr>
              <w:t>Срок службы, лет</w:t>
            </w:r>
          </w:p>
        </w:tc>
      </w:tr>
      <w:tr>
        <w:trPr/>
        <w:tc>
          <w:tcPr>
            <w:tcW w:w="50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bidi w:val="0"/>
              <w:spacing w:before="0" w:after="0"/>
              <w:ind w:left="0" w:right="0" w:hanging="0"/>
              <w:jc w:val="center"/>
              <w:rPr>
                <w:sz w:val="28"/>
                <w:szCs w:val="28"/>
              </w:rPr>
            </w:pPr>
            <w:r>
              <w:rPr>
                <w:sz w:val="28"/>
                <w:szCs w:val="28"/>
              </w:rPr>
              <w:t>1</w:t>
            </w:r>
          </w:p>
        </w:tc>
        <w:tc>
          <w:tcPr>
            <w:tcW w:w="382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0" w:after="0"/>
              <w:ind w:left="0" w:right="0" w:firstLine="709"/>
              <w:rPr>
                <w:sz w:val="28"/>
                <w:szCs w:val="28"/>
              </w:rPr>
            </w:pPr>
            <w:r>
              <w:rPr>
                <w:sz w:val="28"/>
                <w:szCs w:val="28"/>
              </w:rPr>
              <w:t>Трамвай</w:t>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before="0" w:after="0"/>
              <w:ind w:left="0" w:right="0" w:firstLine="709"/>
              <w:rPr>
                <w:sz w:val="28"/>
                <w:szCs w:val="28"/>
              </w:rPr>
            </w:pPr>
            <w:r>
              <w:rPr>
                <w:sz w:val="28"/>
                <w:szCs w:val="28"/>
              </w:rPr>
              <w:t>Всех классов</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before="0" w:after="0"/>
              <w:ind w:left="0" w:right="0" w:firstLine="709"/>
              <w:jc w:val="center"/>
              <w:rPr>
                <w:sz w:val="28"/>
                <w:szCs w:val="28"/>
              </w:rPr>
            </w:pPr>
            <w:r>
              <w:rPr>
                <w:sz w:val="28"/>
                <w:szCs w:val="28"/>
              </w:rPr>
              <w:t>30</w:t>
            </w:r>
          </w:p>
        </w:tc>
      </w:tr>
      <w:tr>
        <w:trPr/>
        <w:tc>
          <w:tcPr>
            <w:tcW w:w="508"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bidi w:val="0"/>
              <w:spacing w:before="0" w:after="0"/>
              <w:ind w:left="0" w:right="0" w:hanging="0"/>
              <w:jc w:val="center"/>
              <w:rPr>
                <w:sz w:val="28"/>
                <w:szCs w:val="28"/>
              </w:rPr>
            </w:pPr>
            <w:r>
              <w:rPr>
                <w:sz w:val="28"/>
                <w:szCs w:val="28"/>
              </w:rPr>
              <w:t>2</w:t>
            </w:r>
          </w:p>
        </w:tc>
        <w:tc>
          <w:tcPr>
            <w:tcW w:w="3820" w:type="dxa"/>
            <w:tcBorders>
              <w:top w:val="single" w:sz="4" w:space="0" w:color="000000"/>
              <w:left w:val="single" w:sz="4" w:space="0" w:color="000000"/>
              <w:bottom w:val="single" w:sz="4" w:space="0" w:color="000000"/>
              <w:right w:val="single" w:sz="4" w:space="0" w:color="000000"/>
            </w:tcBorders>
          </w:tcPr>
          <w:p>
            <w:pPr>
              <w:pStyle w:val="ConsPlusNormal"/>
              <w:widowControl w:val="false"/>
              <w:spacing w:before="0" w:after="0"/>
              <w:ind w:left="0" w:right="0" w:firstLine="709"/>
              <w:rPr>
                <w:sz w:val="28"/>
                <w:szCs w:val="28"/>
              </w:rPr>
            </w:pPr>
            <w:r>
              <w:rPr>
                <w:sz w:val="28"/>
                <w:szCs w:val="28"/>
              </w:rPr>
              <w:t>Троллейбус</w:t>
            </w:r>
          </w:p>
        </w:tc>
        <w:tc>
          <w:tcPr>
            <w:tcW w:w="32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before="0" w:after="0"/>
              <w:ind w:left="0" w:right="0" w:firstLine="709"/>
              <w:rPr>
                <w:sz w:val="28"/>
                <w:szCs w:val="28"/>
              </w:rPr>
            </w:pPr>
            <w:r>
              <w:rPr>
                <w:sz w:val="28"/>
                <w:szCs w:val="28"/>
              </w:rPr>
              <w:t>Всех классов</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before="0" w:after="0"/>
              <w:ind w:left="0" w:right="0" w:firstLine="709"/>
              <w:jc w:val="center"/>
              <w:rPr>
                <w:sz w:val="28"/>
                <w:szCs w:val="28"/>
              </w:rPr>
            </w:pPr>
            <w:r>
              <w:rPr>
                <w:sz w:val="28"/>
                <w:szCs w:val="28"/>
              </w:rPr>
              <w:t>15</w:t>
            </w:r>
          </w:p>
        </w:tc>
      </w:tr>
    </w:tbl>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drawing>
          <wp:inline distT="0" distB="0" distL="0" distR="0">
            <wp:extent cx="197485" cy="175260"/>
            <wp:effectExtent l="0" t="0" r="0" b="0"/>
            <wp:docPr id="40" name="Рисунок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43" descr=""/>
                    <pic:cNvPicPr>
                      <a:picLocks noChangeAspect="1" noChangeArrowheads="1"/>
                    </pic:cNvPicPr>
                  </pic:nvPicPr>
                  <pic:blipFill>
                    <a:blip r:embed="rId44"/>
                    <a:stretch>
                      <a:fillRect/>
                    </a:stretch>
                  </pic:blipFill>
                  <pic:spPr bwMode="auto">
                    <a:xfrm>
                      <a:off x="0" y="0"/>
                      <a:ext cx="197485" cy="175260"/>
                    </a:xfrm>
                    <a:prstGeom prst="rect">
                      <a:avLst/>
                    </a:prstGeom>
                  </pic:spPr>
                </pic:pic>
              </a:graphicData>
            </a:graphic>
          </wp:inline>
        </w:drawing>
      </w:r>
      <w:r>
        <w:rPr>
          <w:sz w:val="28"/>
          <w:szCs w:val="28"/>
        </w:rPr>
        <w:t xml:space="preserve"> </w:t>
      </w:r>
      <w:r>
        <w:rPr>
          <w:sz w:val="28"/>
          <w:szCs w:val="28"/>
        </w:rPr>
        <w:t>- срок действия контракта, лет;</w:t>
      </w:r>
    </w:p>
    <w:p>
      <w:pPr>
        <w:pStyle w:val="ConsPlusNormal"/>
        <w:spacing w:before="0" w:after="0"/>
        <w:ind w:left="0" w:right="0" w:firstLine="709"/>
        <w:jc w:val="both"/>
        <w:rPr/>
      </w:pPr>
      <w:r>
        <w:rPr/>
        <w:drawing>
          <wp:inline distT="0" distB="0" distL="0" distR="0">
            <wp:extent cx="200660" cy="153035"/>
            <wp:effectExtent l="0" t="0" r="0" b="0"/>
            <wp:docPr id="4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Изображение2" descr=""/>
                    <pic:cNvPicPr>
                      <a:picLocks noChangeAspect="1" noChangeArrowheads="1"/>
                    </pic:cNvPicPr>
                  </pic:nvPicPr>
                  <pic:blipFill>
                    <a:blip r:embed="rId45"/>
                    <a:stretch>
                      <a:fillRect/>
                    </a:stretch>
                  </pic:blipFill>
                  <pic:spPr bwMode="auto">
                    <a:xfrm>
                      <a:off x="0" y="0"/>
                      <a:ext cx="200660" cy="153035"/>
                    </a:xfrm>
                    <a:prstGeom prst="rect">
                      <a:avLst/>
                    </a:prstGeom>
                  </pic:spPr>
                </pic:pic>
              </a:graphicData>
            </a:graphic>
          </wp:inline>
        </w:drawing>
      </w:r>
      <w:r>
        <w:rPr>
          <w:sz w:val="28"/>
          <w:szCs w:val="28"/>
        </w:rPr>
        <w:t xml:space="preserve"> </w:t>
      </w:r>
      <w:r>
        <w:rPr>
          <w:rFonts w:eastAsia="" w:cs="Times New Roman" w:eastAsiaTheme="minorEastAsia"/>
          <w:sz w:val="28"/>
          <w:szCs w:val="28"/>
          <w:lang w:eastAsia="ru-RU"/>
        </w:rPr>
        <w:t>−</w:t>
      </w:r>
      <w:r>
        <w:rPr>
          <w:sz w:val="28"/>
          <w:szCs w:val="28"/>
        </w:rPr>
        <w:t xml:space="preserve"> </w:t>
      </w:r>
      <w:r>
        <w:rPr>
          <w:sz w:val="28"/>
          <w:szCs w:val="28"/>
        </w:rPr>
        <w:t>общее количество месяцев исполнения контракта, в том числе неполных.</w:t>
      </w:r>
    </w:p>
    <w:p>
      <w:pPr>
        <w:pStyle w:val="ConsPlusNormal"/>
        <w:spacing w:before="0" w:after="0"/>
        <w:ind w:left="0" w:right="0" w:firstLine="709"/>
        <w:jc w:val="both"/>
        <w:rPr/>
      </w:pPr>
      <w:bookmarkStart w:id="4" w:name="Par128"/>
      <w:bookmarkEnd w:id="4"/>
      <w:r>
        <w:rPr>
          <w:sz w:val="28"/>
          <w:szCs w:val="28"/>
        </w:rPr>
        <w:t>8. Средняя рыночная стоимость новых транспортных средств i-го класса</w:t>
        <w:br/>
        <w:t>на дату начала проведения расчета НМЦК (</w:t>
      </w:r>
      <w:r>
        <w:rPr/>
        <w:drawing>
          <wp:inline distT="0" distB="0" distL="0" distR="0">
            <wp:extent cx="241300" cy="278130"/>
            <wp:effectExtent l="0" t="0" r="0" b="0"/>
            <wp:docPr id="42" name="Рисунок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Рисунок 45" descr=""/>
                    <pic:cNvPicPr>
                      <a:picLocks noChangeAspect="1" noChangeArrowheads="1"/>
                    </pic:cNvPicPr>
                  </pic:nvPicPr>
                  <pic:blipFill>
                    <a:blip r:embed="rId46"/>
                    <a:stretch>
                      <a:fillRect/>
                    </a:stretch>
                  </pic:blipFill>
                  <pic:spPr bwMode="auto">
                    <a:xfrm>
                      <a:off x="0" y="0"/>
                      <a:ext cx="241300" cy="278130"/>
                    </a:xfrm>
                    <a:prstGeom prst="rect">
                      <a:avLst/>
                    </a:prstGeom>
                  </pic:spPr>
                </pic:pic>
              </a:graphicData>
            </a:graphic>
          </wp:inline>
        </w:drawing>
      </w:r>
      <w:r>
        <w:rPr>
          <w:sz w:val="28"/>
          <w:szCs w:val="28"/>
        </w:rPr>
        <w:t>) определяется одним из следующих способов:</w:t>
      </w:r>
    </w:p>
    <w:p>
      <w:pPr>
        <w:pStyle w:val="ConsPlusNormal"/>
        <w:spacing w:before="0" w:after="0"/>
        <w:ind w:left="0" w:right="0" w:firstLine="709"/>
        <w:jc w:val="both"/>
        <w:rPr/>
      </w:pPr>
      <w:r>
        <w:rPr>
          <w:sz w:val="28"/>
          <w:szCs w:val="28"/>
        </w:rPr>
        <w:t>как среднеарифметическое значение цен, указанных в рекламе, каталогах</w:t>
        <w:br/>
        <w:t>и в других предложениях поставщиков транспортных средств, обращенных</w:t>
        <w:br/>
        <w:t>к неопределенному кругу лиц и признаваемых в соответствии с гражданским законодательством публичными офертами;</w:t>
      </w:r>
    </w:p>
    <w:p>
      <w:pPr>
        <w:pStyle w:val="ConsPlusNormal"/>
        <w:spacing w:before="0" w:after="0"/>
        <w:ind w:left="0" w:right="0" w:firstLine="709"/>
        <w:jc w:val="both"/>
        <w:rPr/>
      </w:pPr>
      <w:r>
        <w:rPr>
          <w:sz w:val="28"/>
          <w:szCs w:val="28"/>
        </w:rPr>
        <w:t>как среднеарифметическое значение цен, указанных в полученных по запросу заказчика ответах поставщиков транспортных средств.</w:t>
      </w:r>
    </w:p>
    <w:p>
      <w:pPr>
        <w:pStyle w:val="ConsPlusNormal"/>
        <w:spacing w:before="0" w:after="0"/>
        <w:ind w:left="0" w:right="0" w:firstLine="709"/>
        <w:jc w:val="both"/>
        <w:rPr/>
      </w:pPr>
      <w:r>
        <w:rPr>
          <w:sz w:val="28"/>
          <w:szCs w:val="28"/>
        </w:rPr>
        <w:t>В расчет принимаются цены на транспортные средства, вместимость, оснащение и иные характеристики которых соответствуют условиям контракта.</w:t>
      </w:r>
    </w:p>
    <w:p>
      <w:pPr>
        <w:pStyle w:val="ConsPlusNormal"/>
        <w:spacing w:before="0" w:after="0"/>
        <w:ind w:left="0" w:right="0" w:firstLine="709"/>
        <w:jc w:val="both"/>
        <w:rPr/>
      </w:pPr>
      <w:r>
        <w:rPr>
          <w:sz w:val="28"/>
          <w:szCs w:val="28"/>
        </w:rPr>
        <w:t xml:space="preserve">Среднеарифметическое значение цен рассчитывается на основании не менее двух предложений цены поставщиков транспортных средств, значения которых различаются в пределах не более 15 %. При отсутствии двух предложений поставщиков, допускается включать в расчет стоимость поставки подвижного состава, соответствующего условиям контракта, </w:t>
      </w:r>
      <w:bookmarkStart w:id="5" w:name="_Hlk67868324"/>
      <w:r>
        <w:rPr>
          <w:sz w:val="28"/>
          <w:szCs w:val="28"/>
        </w:rPr>
        <w:t>по государственным контрактам</w:t>
        <w:br/>
      </w:r>
      <w:bookmarkEnd w:id="5"/>
      <w:r>
        <w:rPr>
          <w:sz w:val="28"/>
          <w:szCs w:val="28"/>
        </w:rPr>
        <w:t>на поставку подвижного состава за предшествующие два года, умноженную</w:t>
        <w:br/>
        <w:t xml:space="preserve">на индекс цен на продукцию машиностроения соответствующих лет. </w:t>
      </w:r>
    </w:p>
    <w:p>
      <w:pPr>
        <w:pStyle w:val="Normal"/>
        <w:spacing w:before="0" w:after="0"/>
        <w:ind w:left="0" w:right="0" w:firstLine="709"/>
        <w:jc w:val="right"/>
        <w:rPr>
          <w:sz w:val="28"/>
          <w:szCs w:val="28"/>
        </w:rPr>
      </w:pPr>
      <w:r>
        <w:rPr>
          <w:sz w:val="28"/>
          <w:szCs w:val="28"/>
        </w:rPr>
      </w:r>
    </w:p>
    <w:p>
      <w:pPr>
        <w:pStyle w:val="Normal"/>
        <w:spacing w:before="0" w:after="0"/>
        <w:ind w:left="0" w:right="0" w:firstLine="709"/>
        <w:jc w:val="right"/>
        <w:rPr>
          <w:sz w:val="28"/>
          <w:szCs w:val="28"/>
        </w:rPr>
      </w:pPr>
      <w:r>
        <w:rPr>
          <w:sz w:val="28"/>
          <w:szCs w:val="28"/>
        </w:rPr>
      </w:r>
    </w:p>
    <w:p>
      <w:pPr>
        <w:pStyle w:val="Normal"/>
        <w:spacing w:before="0" w:after="0"/>
        <w:ind w:left="0" w:right="0" w:firstLine="709"/>
        <w:jc w:val="right"/>
        <w:rPr>
          <w:sz w:val="28"/>
          <w:szCs w:val="28"/>
        </w:rPr>
      </w:pPr>
      <w:r>
        <w:rPr>
          <w:sz w:val="28"/>
          <w:szCs w:val="28"/>
        </w:rPr>
      </w:r>
    </w:p>
    <w:p>
      <w:pPr>
        <w:pStyle w:val="Normal"/>
        <w:spacing w:before="0" w:after="0"/>
        <w:ind w:left="0" w:right="0" w:firstLine="709"/>
        <w:jc w:val="right"/>
        <w:rPr>
          <w:sz w:val="28"/>
          <w:szCs w:val="28"/>
        </w:rPr>
      </w:pPr>
      <w:r>
        <w:rPr>
          <w:sz w:val="28"/>
          <w:szCs w:val="28"/>
        </w:rPr>
      </w:r>
    </w:p>
    <w:p>
      <w:pPr>
        <w:pStyle w:val="Normal"/>
        <w:spacing w:before="0" w:after="0"/>
        <w:ind w:left="0" w:right="0" w:firstLine="709"/>
        <w:rPr>
          <w:sz w:val="28"/>
          <w:szCs w:val="28"/>
        </w:rPr>
      </w:pPr>
      <w:r>
        <w:rPr>
          <w:sz w:val="28"/>
          <w:szCs w:val="28"/>
        </w:rPr>
      </w:r>
      <w:r>
        <w:br w:type="page"/>
      </w:r>
    </w:p>
    <w:p>
      <w:pPr>
        <w:pStyle w:val="Normal"/>
        <w:spacing w:before="0" w:after="0"/>
        <w:ind w:left="0" w:right="0" w:firstLine="709"/>
        <w:jc w:val="right"/>
        <w:rPr>
          <w:sz w:val="28"/>
          <w:szCs w:val="28"/>
        </w:rPr>
      </w:pPr>
      <w:r>
        <w:rPr/>
      </w:r>
    </w:p>
    <w:tbl>
      <w:tblPr>
        <w:tblW w:w="5722" w:type="dxa"/>
        <w:jc w:val="right"/>
        <w:tblInd w:w="0" w:type="dxa"/>
        <w:tblLayout w:type="fixed"/>
        <w:tblCellMar>
          <w:top w:w="55" w:type="dxa"/>
          <w:left w:w="55" w:type="dxa"/>
          <w:bottom w:w="55" w:type="dxa"/>
          <w:right w:w="55" w:type="dxa"/>
        </w:tblCellMar>
      </w:tblPr>
      <w:tblGrid>
        <w:gridCol w:w="5722"/>
      </w:tblGrid>
      <w:tr>
        <w:trPr/>
        <w:tc>
          <w:tcPr>
            <w:tcW w:w="5722" w:type="dxa"/>
            <w:tcBorders/>
          </w:tcPr>
          <w:p>
            <w:pPr>
              <w:pStyle w:val="Normal"/>
              <w:suppressAutoHyphens w:val="true"/>
              <w:bidi w:val="0"/>
              <w:spacing w:before="0" w:after="0"/>
              <w:ind w:left="0" w:right="0" w:hanging="0"/>
              <w:jc w:val="center"/>
              <w:rPr/>
            </w:pPr>
            <w:r>
              <w:rPr>
                <w:rFonts w:eastAsia="Calibri" w:cs="" w:cstheme="minorBidi" w:eastAsiaTheme="minorHAnsi"/>
                <w:color w:val="auto"/>
                <w:kern w:val="0"/>
                <w:sz w:val="28"/>
                <w:szCs w:val="28"/>
                <w:lang w:val="ru-RU" w:eastAsia="en-US" w:bidi="ar-SA"/>
              </w:rPr>
              <w:t>ПРИЛОЖЕНИЕ</w:t>
            </w:r>
            <w:r>
              <w:rPr>
                <w:sz w:val="28"/>
                <w:szCs w:val="28"/>
              </w:rPr>
              <w:t xml:space="preserve"> № 1</w:t>
            </w:r>
          </w:p>
          <w:p>
            <w:pPr>
              <w:pStyle w:val="ConsPlusNormal"/>
              <w:suppressAutoHyphens w:val="true"/>
              <w:bidi w:val="0"/>
              <w:spacing w:before="0" w:after="0"/>
              <w:ind w:left="0" w:right="0" w:hanging="0"/>
              <w:jc w:val="center"/>
              <w:rPr/>
            </w:pPr>
            <w:r>
              <w:rPr>
                <w:sz w:val="28"/>
                <w:szCs w:val="28"/>
              </w:rPr>
              <w:t>к Порядку определения начальной</w:t>
            </w:r>
          </w:p>
          <w:p>
            <w:pPr>
              <w:pStyle w:val="ConsPlusNormal"/>
              <w:suppressAutoHyphens w:val="true"/>
              <w:bidi w:val="0"/>
              <w:spacing w:before="0" w:after="0"/>
              <w:ind w:left="0" w:right="0" w:hanging="0"/>
              <w:jc w:val="center"/>
              <w:rPr/>
            </w:pPr>
            <w:r>
              <w:rPr>
                <w:sz w:val="28"/>
                <w:szCs w:val="28"/>
              </w:rPr>
              <w:t>(максимальной) цены контракта, а также цены контракта, заключаемого с единственным поставщиком (подрядчиком, исполнителем),</w:t>
            </w:r>
          </w:p>
          <w:p>
            <w:pPr>
              <w:pStyle w:val="ConsPlusNormal"/>
              <w:suppressAutoHyphens w:val="true"/>
              <w:bidi w:val="0"/>
              <w:spacing w:before="0" w:after="0"/>
              <w:ind w:left="0" w:right="0" w:hanging="0"/>
              <w:jc w:val="center"/>
              <w:rPr/>
            </w:pPr>
            <w:r>
              <w:rPr>
                <w:sz w:val="28"/>
                <w:szCs w:val="28"/>
              </w:rPr>
              <w:t>при осуществлении закупок в сфере</w:t>
            </w:r>
          </w:p>
          <w:p>
            <w:pPr>
              <w:pStyle w:val="ConsPlusNormal"/>
              <w:suppressAutoHyphens w:val="true"/>
              <w:bidi w:val="0"/>
              <w:spacing w:before="0" w:after="0"/>
              <w:ind w:left="0" w:right="0" w:hanging="0"/>
              <w:jc w:val="center"/>
              <w:rPr/>
            </w:pPr>
            <w:r>
              <w:rPr>
                <w:sz w:val="28"/>
                <w:szCs w:val="28"/>
              </w:rPr>
              <w:t>регулярных перевозок пассажиров и багажа автомобильным транспортом и городским наземным электрическим транспортом</w:t>
            </w:r>
          </w:p>
        </w:tc>
      </w:tr>
    </w:tbl>
    <w:p>
      <w:pPr>
        <w:pStyle w:val="ConsPlusNormal"/>
        <w:spacing w:before="0" w:after="0"/>
        <w:ind w:left="0" w:right="0" w:firstLine="709"/>
        <w:jc w:val="both"/>
        <w:rPr>
          <w:sz w:val="28"/>
          <w:szCs w:val="28"/>
        </w:rPr>
      </w:pPr>
      <w:r>
        <w:rPr>
          <w:sz w:val="28"/>
          <w:szCs w:val="28"/>
        </w:rPr>
      </w:r>
    </w:p>
    <w:p>
      <w:pPr>
        <w:pStyle w:val="ConsPlusTitle"/>
        <w:widowControl w:val="false"/>
        <w:suppressAutoHyphens w:val="true"/>
        <w:bidi w:val="0"/>
        <w:spacing w:before="0" w:after="0"/>
        <w:ind w:left="0" w:right="0" w:hanging="0"/>
        <w:jc w:val="center"/>
        <w:rPr/>
      </w:pPr>
      <w:bookmarkStart w:id="6" w:name="Par151"/>
      <w:bookmarkEnd w:id="6"/>
      <w:r>
        <w:rPr>
          <w:rFonts w:cs="Times New Roman" w:ascii="Times New Roman" w:hAnsi="Times New Roman"/>
          <w:sz w:val="28"/>
          <w:szCs w:val="28"/>
        </w:rPr>
        <w:t>Расчет максимальной себестоимости 1 км пробега автобусов</w:t>
      </w:r>
    </w:p>
    <w:p>
      <w:pPr>
        <w:pStyle w:val="ConsPlusNormal"/>
        <w:spacing w:before="0" w:after="0"/>
        <w:ind w:left="0" w:right="0" w:firstLine="709"/>
        <w:rPr>
          <w:sz w:val="28"/>
          <w:szCs w:val="28"/>
        </w:rPr>
      </w:pPr>
      <w:r>
        <w:rPr>
          <w:sz w:val="28"/>
          <w:szCs w:val="28"/>
        </w:rPr>
      </w:r>
    </w:p>
    <w:p>
      <w:pPr>
        <w:pStyle w:val="ConsPlusNormal"/>
        <w:spacing w:before="0" w:after="0"/>
        <w:ind w:left="0" w:right="0" w:firstLine="709"/>
        <w:jc w:val="both"/>
        <w:rPr/>
      </w:pPr>
      <w:r>
        <w:rPr>
          <w:sz w:val="28"/>
          <w:szCs w:val="28"/>
        </w:rPr>
        <w:t>1. Максимальная себестоимость 1 км пробега транспортных средств i-го класса в t-ый год срока действия контракта (</w:t>
      </w:r>
      <w:r>
        <w:rPr/>
        <w:drawing>
          <wp:inline distT="0" distB="0" distL="0" distR="0">
            <wp:extent cx="219710" cy="278130"/>
            <wp:effectExtent l="0" t="0" r="0" b="0"/>
            <wp:docPr id="43" name="Рисунок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Рисунок 46" descr=""/>
                    <pic:cNvPicPr>
                      <a:picLocks noChangeAspect="1" noChangeArrowheads="1"/>
                    </pic:cNvPicPr>
                  </pic:nvPicPr>
                  <pic:blipFill>
                    <a:blip r:embed="rId47"/>
                    <a:stretch>
                      <a:fillRect/>
                    </a:stretch>
                  </pic:blipFill>
                  <pic:spPr bwMode="auto">
                    <a:xfrm>
                      <a:off x="0" y="0"/>
                      <a:ext cx="219710" cy="278130"/>
                    </a:xfrm>
                    <a:prstGeom prst="rect">
                      <a:avLst/>
                    </a:prstGeom>
                  </pic:spPr>
                </pic:pic>
              </a:graphicData>
            </a:graphic>
          </wp:inline>
        </w:drawing>
      </w:r>
      <w:r>
        <w:rPr>
          <w:sz w:val="28"/>
          <w:szCs w:val="28"/>
        </w:rPr>
        <w:t>) определяется по формуле (1).</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r>
      <m:oMath xmlns:m="http://schemas.openxmlformats.org/officeDocument/2006/math">
        <m:sSub>
          <m:e>
            <m:r>
              <w:rPr>
                <w:rFonts w:ascii="Cambria Math" w:hAnsi="Cambria Math"/>
              </w:rPr>
              <m:t xml:space="preserve">S</m:t>
            </m:r>
          </m:e>
          <m:sub>
            <m:r>
              <w:rPr>
                <w:rFonts w:ascii="Cambria Math" w:hAnsi="Cambria Math"/>
              </w:rPr>
              <m:t xml:space="preserve">ti</m:t>
            </m:r>
          </m:sub>
        </m:sSub>
        <m:r>
          <w:rPr>
            <w:rFonts w:ascii="Cambria Math" w:hAnsi="Cambria Math"/>
          </w:rPr>
          <m:t xml:space="preserve">=</m:t>
        </m:r>
        <m:sSub>
          <m:e>
            <m:r>
              <w:rPr>
                <w:rFonts w:ascii="Cambria Math" w:hAnsi="Cambria Math"/>
              </w:rPr>
              <m:t xml:space="preserve">Р</m:t>
            </m:r>
          </m:e>
          <m:sub>
            <m:r>
              <w:rPr>
                <w:rFonts w:ascii="Cambria Math" w:hAnsi="Cambria Math"/>
              </w:rPr>
              <m:t xml:space="preserve">ОТВ</m:t>
            </m:r>
            <m:r>
              <w:rPr>
                <w:rFonts w:ascii="Cambria Math" w:hAnsi="Cambria Math"/>
              </w:rPr>
              <m:t xml:space="preserve">ti</m:t>
            </m:r>
          </m:sub>
        </m:sSub>
        <m:r>
          <w:rPr>
            <w:rFonts w:ascii="Cambria Math" w:hAnsi="Cambria Math"/>
          </w:rPr>
          <m:t xml:space="preserve">+</m:t>
        </m:r>
        <m:sSub>
          <m:e>
            <m:r>
              <w:rPr>
                <w:rFonts w:ascii="Cambria Math" w:hAnsi="Cambria Math"/>
              </w:rPr>
              <m:t xml:space="preserve">Р</m:t>
            </m:r>
          </m:e>
          <m:sub>
            <m:r>
              <w:rPr>
                <w:rFonts w:ascii="Cambria Math" w:hAnsi="Cambria Math"/>
              </w:rPr>
              <m:t xml:space="preserve">ОТК</m:t>
            </m:r>
            <m:r>
              <w:rPr>
                <w:rFonts w:ascii="Cambria Math" w:hAnsi="Cambria Math"/>
              </w:rPr>
              <m:t xml:space="preserve">t</m:t>
            </m:r>
          </m:sub>
        </m:sSub>
        <m:r>
          <w:rPr>
            <w:rFonts w:ascii="Cambria Math" w:hAnsi="Cambria Math"/>
          </w:rPr>
          <m:t xml:space="preserve">+</m:t>
        </m:r>
        <m:sSub>
          <m:e>
            <m:r>
              <w:rPr>
                <w:rFonts w:ascii="Cambria Math" w:hAnsi="Cambria Math"/>
              </w:rPr>
              <m:t xml:space="preserve">CP</m:t>
            </m:r>
          </m:e>
          <m:sub>
            <m:r>
              <w:rPr>
                <w:rFonts w:ascii="Cambria Math" w:hAnsi="Cambria Math"/>
              </w:rPr>
              <m:t xml:space="preserve">ti</m:t>
            </m:r>
          </m:sub>
        </m:sSub>
        <m:r>
          <w:rPr>
            <w:rFonts w:ascii="Cambria Math" w:hAnsi="Cambria Math"/>
          </w:rPr>
          <m:t xml:space="preserve">+</m:t>
        </m:r>
        <m:sSub>
          <m:e>
            <m:r>
              <w:rPr>
                <w:rFonts w:ascii="Cambria Math" w:hAnsi="Cambria Math"/>
              </w:rPr>
              <m:t xml:space="preserve">Р</m:t>
            </m:r>
          </m:e>
          <m:sub>
            <m:r>
              <w:rPr>
                <w:rFonts w:ascii="Cambria Math" w:hAnsi="Cambria Math"/>
              </w:rPr>
              <m:t xml:space="preserve">Т</m:t>
            </m:r>
            <m:r>
              <w:rPr>
                <w:rFonts w:ascii="Cambria Math" w:hAnsi="Cambria Math"/>
              </w:rPr>
              <m:t xml:space="preserve">ti</m:t>
            </m:r>
          </m:sub>
        </m:sSub>
        <m:r>
          <w:rPr>
            <w:rFonts w:ascii="Cambria Math" w:hAnsi="Cambria Math"/>
          </w:rPr>
          <m:t xml:space="preserve">+</m:t>
        </m:r>
        <m:sSub>
          <m:e>
            <m:r>
              <w:rPr>
                <w:rFonts w:ascii="Cambria Math" w:hAnsi="Cambria Math"/>
              </w:rPr>
              <m:t xml:space="preserve">P</m:t>
            </m:r>
          </m:e>
          <m:sub>
            <m:r>
              <w:rPr>
                <w:rFonts w:ascii="Cambria Math" w:hAnsi="Cambria Math"/>
              </w:rPr>
              <m:t xml:space="preserve">CM</m:t>
            </m:r>
            <m:r>
              <w:rPr>
                <w:rFonts w:ascii="Cambria Math" w:hAnsi="Cambria Math"/>
              </w:rPr>
              <m:t xml:space="preserve">ti</m:t>
            </m:r>
          </m:sub>
        </m:sSub>
        <m:r>
          <w:rPr>
            <w:rFonts w:ascii="Cambria Math" w:hAnsi="Cambria Math"/>
          </w:rPr>
          <m:t xml:space="preserve">+</m:t>
        </m:r>
        <m:sSub>
          <m:e>
            <m:r>
              <w:rPr>
                <w:rFonts w:ascii="Cambria Math" w:hAnsi="Cambria Math"/>
              </w:rPr>
              <m:t xml:space="preserve">Р</m:t>
            </m:r>
          </m:e>
          <m:sub>
            <m:r>
              <w:rPr>
                <w:rFonts w:ascii="Cambria Math" w:hAnsi="Cambria Math"/>
              </w:rPr>
              <m:t xml:space="preserve">Ш</m:t>
            </m:r>
            <m:r>
              <w:rPr>
                <w:rFonts w:ascii="Cambria Math" w:hAnsi="Cambria Math"/>
              </w:rPr>
              <m:t xml:space="preserve">ti</m:t>
            </m:r>
          </m:sub>
        </m:sSub>
        <m:r>
          <w:rPr>
            <w:rFonts w:ascii="Cambria Math" w:hAnsi="Cambria Math"/>
          </w:rPr>
          <m:t xml:space="preserve">+</m:t>
        </m:r>
        <m:sSub>
          <m:e>
            <m:r>
              <w:rPr>
                <w:rFonts w:ascii="Cambria Math" w:hAnsi="Cambria Math"/>
              </w:rPr>
              <m:t xml:space="preserve">Р</m:t>
            </m:r>
          </m:e>
          <m:sub>
            <m:r>
              <w:rPr>
                <w:rFonts w:ascii="Cambria Math" w:hAnsi="Cambria Math"/>
              </w:rPr>
              <m:t xml:space="preserve">ТО</m:t>
            </m:r>
            <m:r>
              <w:rPr>
                <w:rFonts w:ascii="Cambria Math" w:hAnsi="Cambria Math"/>
              </w:rPr>
              <m:t xml:space="preserve">ti</m:t>
            </m:r>
          </m:sub>
        </m:sSub>
        <m:r>
          <w:rPr>
            <w:rFonts w:ascii="Cambria Math" w:hAnsi="Cambria Math"/>
          </w:rPr>
          <m:t xml:space="preserve">+</m:t>
        </m:r>
        <m:sSub>
          <m:e>
            <m:r>
              <w:rPr>
                <w:rFonts w:ascii="Cambria Math" w:hAnsi="Cambria Math"/>
              </w:rPr>
              <m:t xml:space="preserve">ПКР</m:t>
            </m:r>
          </m:e>
          <m:sub>
            <m:r>
              <w:rPr>
                <w:rFonts w:ascii="Cambria Math" w:hAnsi="Cambria Math"/>
              </w:rPr>
              <m:t xml:space="preserve">ti</m:t>
            </m:r>
          </m:sub>
        </m:sSub>
      </m:oMath>
      <w:r>
        <w:rPr>
          <w:sz w:val="28"/>
          <w:szCs w:val="28"/>
        </w:rPr>
        <w:t>, руб./км (1)</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424180" cy="278130"/>
            <wp:effectExtent l="0" t="0" r="0" b="0"/>
            <wp:docPr id="44" name="Рисунок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Рисунок 48" descr=""/>
                    <pic:cNvPicPr>
                      <a:picLocks noChangeAspect="1" noChangeArrowheads="1"/>
                    </pic:cNvPicPr>
                  </pic:nvPicPr>
                  <pic:blipFill>
                    <a:blip r:embed="rId48"/>
                    <a:stretch>
                      <a:fillRect/>
                    </a:stretch>
                  </pic:blipFill>
                  <pic:spPr bwMode="auto">
                    <a:xfrm>
                      <a:off x="0" y="0"/>
                      <a:ext cx="42418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168" w:tgtFrame="2. Расходы на оплату труда водителей транспортных средств i-го класса в t-ый год срока действия контракта в расчете на 1 км пробега (_) определяются по формуле (2).">
        <w:r>
          <w:rPr>
            <w:sz w:val="28"/>
            <w:szCs w:val="28"/>
          </w:rPr>
          <w:t>пунктом 2</w:t>
        </w:r>
      </w:hyperlink>
      <w:r>
        <w:rPr>
          <w:sz w:val="28"/>
          <w:szCs w:val="28"/>
        </w:rPr>
        <w:t xml:space="preserve"> настоящего приложения расходы на оплату труда водителей транспортных средств i-го класса в t-ый год срока действия контракта в расчете на 1 км пробега;</w:t>
      </w:r>
    </w:p>
    <w:p>
      <w:pPr>
        <w:pStyle w:val="ConsPlusNormal"/>
        <w:spacing w:before="0" w:after="0"/>
        <w:ind w:left="0" w:right="0" w:firstLine="709"/>
        <w:jc w:val="both"/>
        <w:rPr/>
      </w:pPr>
      <w:r>
        <w:rPr/>
        <w:drawing>
          <wp:inline distT="0" distB="0" distL="0" distR="0">
            <wp:extent cx="409575" cy="278130"/>
            <wp:effectExtent l="0" t="0" r="0" b="0"/>
            <wp:docPr id="45" name="Рисунок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49" descr=""/>
                    <pic:cNvPicPr>
                      <a:picLocks noChangeAspect="1" noChangeArrowheads="1"/>
                    </pic:cNvPicPr>
                  </pic:nvPicPr>
                  <pic:blipFill>
                    <a:blip r:embed="rId49"/>
                    <a:stretch>
                      <a:fillRect/>
                    </a:stretch>
                  </pic:blipFill>
                  <pic:spPr bwMode="auto">
                    <a:xfrm>
                      <a:off x="0" y="0"/>
                      <a:ext cx="40957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253" w:tgtFrame="4. Расходы на оплату труда кондукторов транспортных средств в t-ый год срока действия контракта в расчете на 1 км пробега определяются по формуле (4).">
        <w:r>
          <w:rPr>
            <w:sz w:val="28"/>
            <w:szCs w:val="28"/>
          </w:rPr>
          <w:t>пунктом 4</w:t>
        </w:r>
      </w:hyperlink>
      <w:r>
        <w:rPr>
          <w:sz w:val="28"/>
          <w:szCs w:val="28"/>
        </w:rPr>
        <w:t xml:space="preserve"> настоящего приложения расходы на оплату труда кондукторов транспортных средств в t-ый год срока действия контракта в расчете на 1 км пробега;</w:t>
      </w:r>
    </w:p>
    <w:p>
      <w:pPr>
        <w:pStyle w:val="ConsPlusNormal"/>
        <w:spacing w:before="0" w:after="0"/>
        <w:ind w:left="0" w:right="0" w:firstLine="709"/>
        <w:jc w:val="both"/>
        <w:rPr/>
      </w:pPr>
      <w:r>
        <w:rPr/>
        <w:drawing>
          <wp:inline distT="0" distB="0" distL="0" distR="0">
            <wp:extent cx="336550" cy="278130"/>
            <wp:effectExtent l="0" t="0" r="0" b="0"/>
            <wp:docPr id="46" name="Рисунок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Рисунок 50" descr=""/>
                    <pic:cNvPicPr>
                      <a:picLocks noChangeAspect="1" noChangeArrowheads="1"/>
                    </pic:cNvPicPr>
                  </pic:nvPicPr>
                  <pic:blipFill>
                    <a:blip r:embed="rId50"/>
                    <a:stretch>
                      <a:fillRect/>
                    </a:stretch>
                  </pic:blipFill>
                  <pic:spPr bwMode="auto">
                    <a:xfrm>
                      <a:off x="0" y="0"/>
                      <a:ext cx="33655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274" w:tgtFrame="6. Отчисления на социальные нужды от оплаты труда водителей и кондукторов транспортных средств i-го класса в t-ый год срока действия контракта в расчете на 1 км пробега (_) определяются по формуле (6).">
        <w:r>
          <w:rPr>
            <w:sz w:val="28"/>
            <w:szCs w:val="28"/>
          </w:rPr>
          <w:t>пунктом 6</w:t>
        </w:r>
      </w:hyperlink>
      <w:r>
        <w:rPr>
          <w:sz w:val="28"/>
          <w:szCs w:val="28"/>
        </w:rPr>
        <w:t xml:space="preserve"> настоящего приложения отчисления на социальные нужды от оплаты труда водителей и кондукторов транспортных средств i-го класса в t-ый год срока действия контракта в расчете</w:t>
        <w:br/>
        <w:t>на 1 км пробега;</w:t>
      </w:r>
    </w:p>
    <w:p>
      <w:pPr>
        <w:pStyle w:val="ConsPlusNormal"/>
        <w:spacing w:before="0" w:after="0"/>
        <w:ind w:left="0" w:right="0" w:firstLine="709"/>
        <w:jc w:val="both"/>
        <w:rPr/>
      </w:pPr>
      <w:r>
        <w:rPr/>
        <w:drawing>
          <wp:inline distT="0" distB="0" distL="0" distR="0">
            <wp:extent cx="285115" cy="278130"/>
            <wp:effectExtent l="0" t="0" r="0" b="0"/>
            <wp:docPr id="47" name="Рисунок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 51" descr=""/>
                    <pic:cNvPicPr>
                      <a:picLocks noChangeAspect="1" noChangeArrowheads="1"/>
                    </pic:cNvPicPr>
                  </pic:nvPicPr>
                  <pic:blipFill>
                    <a:blip r:embed="rId51"/>
                    <a:stretch>
                      <a:fillRect/>
                    </a:stretch>
                  </pic:blipFill>
                  <pic:spPr bwMode="auto">
                    <a:xfrm>
                      <a:off x="0" y="0"/>
                      <a:ext cx="28511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282" w:tgtFrame="7. Расходы на топливо для транспортных средств i-го класса в t-ый год срока действия контракта в расчете на 1 км пробега (_) определяются по формуле (7).">
        <w:r>
          <w:rPr>
            <w:sz w:val="28"/>
            <w:szCs w:val="28"/>
          </w:rPr>
          <w:t>пунктом 7</w:t>
        </w:r>
      </w:hyperlink>
      <w:r>
        <w:rPr>
          <w:sz w:val="28"/>
          <w:szCs w:val="28"/>
        </w:rPr>
        <w:t xml:space="preserve"> настоящего приложения расходы на топливо для транспортных средств i-го класса в t-ый год срока действия контракта в расчете на 1 км пробега;</w:t>
      </w:r>
    </w:p>
    <w:p>
      <w:pPr>
        <w:pStyle w:val="ConsPlusNormal"/>
        <w:spacing w:before="0" w:after="0"/>
        <w:ind w:left="0" w:right="0" w:firstLine="709"/>
        <w:jc w:val="both"/>
        <w:rPr/>
      </w:pPr>
      <w:r>
        <w:rPr/>
        <w:drawing>
          <wp:inline distT="0" distB="0" distL="0" distR="0">
            <wp:extent cx="402590" cy="278130"/>
            <wp:effectExtent l="0" t="0" r="0" b="0"/>
            <wp:docPr id="48" name="Рисунок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Рисунок 52" descr=""/>
                    <pic:cNvPicPr>
                      <a:picLocks noChangeAspect="1" noChangeArrowheads="1"/>
                    </pic:cNvPicPr>
                  </pic:nvPicPr>
                  <pic:blipFill>
                    <a:blip r:embed="rId52"/>
                    <a:stretch>
                      <a:fillRect/>
                    </a:stretch>
                  </pic:blipFill>
                  <pic:spPr bwMode="auto">
                    <a:xfrm>
                      <a:off x="0" y="0"/>
                      <a:ext cx="40259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355" w:tgtFrame="8. Расходы на смазочные и прочие эксплуатационные материалы для транспортных средств i-го класса в t-ый год срока действия контракта в расчете на 1 км пробега (_) определяются по формуле (8).">
        <w:r>
          <w:rPr>
            <w:sz w:val="28"/>
            <w:szCs w:val="28"/>
          </w:rPr>
          <w:t>пунктом 8</w:t>
        </w:r>
      </w:hyperlink>
      <w:r>
        <w:rPr>
          <w:sz w:val="28"/>
          <w:szCs w:val="28"/>
        </w:rPr>
        <w:t xml:space="preserve"> настоящего приложения расходы на смазочные и прочие эксплуатационные материалы для транспортных средств i-го класса в t-ый год срока действия контракта в расчете на 1 км пробега;</w:t>
      </w:r>
    </w:p>
    <w:p>
      <w:pPr>
        <w:pStyle w:val="ConsPlusNormal"/>
        <w:spacing w:before="0" w:after="0"/>
        <w:ind w:left="0" w:right="0" w:firstLine="709"/>
        <w:jc w:val="both"/>
        <w:rPr/>
      </w:pPr>
      <w:r>
        <w:rPr/>
        <w:drawing>
          <wp:inline distT="0" distB="0" distL="0" distR="0">
            <wp:extent cx="358140" cy="278130"/>
            <wp:effectExtent l="0" t="0" r="0" b="0"/>
            <wp:docPr id="49" name="Рисунок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Рисунок 53" descr=""/>
                    <pic:cNvPicPr>
                      <a:picLocks noChangeAspect="1" noChangeArrowheads="1"/>
                    </pic:cNvPicPr>
                  </pic:nvPicPr>
                  <pic:blipFill>
                    <a:blip r:embed="rId53"/>
                    <a:stretch>
                      <a:fillRect/>
                    </a:stretch>
                  </pic:blipFill>
                  <pic:spPr bwMode="auto">
                    <a:xfrm>
                      <a:off x="0" y="0"/>
                      <a:ext cx="35814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362" w:tgtFrame="9. Расходы на износ и ремонт шин транспортных средств i-го класса в t-ый год срока действия контракта в расчете на 1 км пробега (_) определяются по формуле (9).">
        <w:r>
          <w:rPr>
            <w:sz w:val="28"/>
            <w:szCs w:val="28"/>
          </w:rPr>
          <w:t>пунктом 9</w:t>
        </w:r>
      </w:hyperlink>
      <w:r>
        <w:rPr>
          <w:sz w:val="28"/>
          <w:szCs w:val="28"/>
        </w:rPr>
        <w:t xml:space="preserve"> настоящего приложения расходы на износ и ремонт шин транспортных средств i-го класса в t-ый год срока действия контракта в расчете на 1 км пробега;</w:t>
      </w:r>
    </w:p>
    <w:p>
      <w:pPr>
        <w:pStyle w:val="ConsPlusNormal"/>
        <w:spacing w:before="0" w:after="0"/>
        <w:ind w:left="0" w:right="0" w:firstLine="709"/>
        <w:jc w:val="both"/>
        <w:rPr/>
      </w:pPr>
      <w:r>
        <w:rPr/>
        <w:drawing>
          <wp:inline distT="0" distB="0" distL="0" distR="0">
            <wp:extent cx="365760" cy="278130"/>
            <wp:effectExtent l="0" t="0" r="0" b="0"/>
            <wp:docPr id="50" name="Рисунок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54" descr=""/>
                    <pic:cNvPicPr>
                      <a:picLocks noChangeAspect="1" noChangeArrowheads="1"/>
                    </pic:cNvPicPr>
                  </pic:nvPicPr>
                  <pic:blipFill>
                    <a:blip r:embed="rId54"/>
                    <a:stretch>
                      <a:fillRect/>
                    </a:stretch>
                  </pic:blipFill>
                  <pic:spPr bwMode="auto">
                    <a:xfrm>
                      <a:off x="0" y="0"/>
                      <a:ext cx="36576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370" w:tgtFrame="10. Расходы на техническое обслуживание и ремонт транспортных средств i-го класса в t-ый год срока действия контракта в расчете на 1 км пробега (_) определяются по формуле (10).">
        <w:r>
          <w:rPr>
            <w:sz w:val="28"/>
            <w:szCs w:val="28"/>
          </w:rPr>
          <w:t>пунктом 10</w:t>
        </w:r>
      </w:hyperlink>
      <w:r>
        <w:rPr>
          <w:sz w:val="28"/>
          <w:szCs w:val="28"/>
        </w:rPr>
        <w:t xml:space="preserve"> настоящего приложения расходы на техническое обслуживание и ремонт транспортных средств i-го класса</w:t>
        <w:br/>
        <w:t>в t-ый год срока действия контракта в расчете на 1 км пробега;</w:t>
      </w:r>
    </w:p>
    <w:p>
      <w:pPr>
        <w:pStyle w:val="ConsPlusNormal"/>
        <w:spacing w:before="0" w:after="0"/>
        <w:ind w:left="0" w:right="0" w:firstLine="709"/>
        <w:jc w:val="both"/>
        <w:rPr/>
      </w:pPr>
      <w:r>
        <w:rPr/>
        <w:drawing>
          <wp:inline distT="0" distB="0" distL="0" distR="0">
            <wp:extent cx="497205" cy="278130"/>
            <wp:effectExtent l="0" t="0" r="0" b="0"/>
            <wp:docPr id="51" name="Рисунок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5" descr=""/>
                    <pic:cNvPicPr>
                      <a:picLocks noChangeAspect="1" noChangeArrowheads="1"/>
                    </pic:cNvPicPr>
                  </pic:nvPicPr>
                  <pic:blipFill>
                    <a:blip r:embed="rId55"/>
                    <a:stretch>
                      <a:fillRect/>
                    </a:stretch>
                  </pic:blipFill>
                  <pic:spPr bwMode="auto">
                    <a:xfrm>
                      <a:off x="0" y="0"/>
                      <a:ext cx="49720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444" w:tgtFrame="14. Прочие расходы по обычным видам деятельности в сумме с косвенными расходами для транспортных средств i-го класса в t-ом году срока действия контракта (_) определяются по формуле (14).">
        <w:r>
          <w:rPr>
            <w:sz w:val="28"/>
            <w:szCs w:val="28"/>
          </w:rPr>
          <w:t>пунктом 14</w:t>
        </w:r>
      </w:hyperlink>
      <w:r>
        <w:rPr>
          <w:sz w:val="28"/>
          <w:szCs w:val="28"/>
        </w:rPr>
        <w:t xml:space="preserve"> настоящего приложения прочие расходы по обычным видам деятельности в сумме с косвенными расходами для транспортных средств i-го класса в t-ом году срока действия контракта.</w:t>
      </w:r>
    </w:p>
    <w:p>
      <w:pPr>
        <w:pStyle w:val="ConsPlusNormal"/>
        <w:spacing w:before="0" w:after="0"/>
        <w:ind w:left="0" w:right="0" w:firstLine="709"/>
        <w:jc w:val="both"/>
        <w:rPr/>
      </w:pPr>
      <w:r>
        <w:rPr>
          <w:sz w:val="28"/>
          <w:szCs w:val="28"/>
        </w:rPr>
        <w:t>Каждое из слагаемых формулы (1) включается в состав себестоимости пробега по контракту только в случае, если контрактом на перевозчика возлагается обязанность выполнять соответствующий вид деятельности. При расчете каждого слагаемого необходимо учитывать период, в течение которого на перевозчика возложена соответствующая обязанность.</w:t>
      </w:r>
    </w:p>
    <w:p>
      <w:pPr>
        <w:pStyle w:val="ConsPlusNormal"/>
        <w:spacing w:before="0" w:after="0"/>
        <w:ind w:left="0" w:right="0" w:firstLine="709"/>
        <w:jc w:val="both"/>
        <w:rPr/>
      </w:pPr>
      <w:bookmarkStart w:id="7" w:name="Par168"/>
      <w:bookmarkEnd w:id="7"/>
      <w:r>
        <w:rPr>
          <w:sz w:val="28"/>
          <w:szCs w:val="28"/>
        </w:rPr>
        <w:t>2. Расходы на оплату труда водителей транспортных средств i-го класса в t-ый год срока действия контракта в расчете на 1 км пробега (</w:t>
      </w:r>
      <w:r>
        <w:rPr/>
        <w:drawing>
          <wp:inline distT="0" distB="0" distL="0" distR="0">
            <wp:extent cx="424180" cy="278130"/>
            <wp:effectExtent l="0" t="0" r="0" b="0"/>
            <wp:docPr id="52"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56" descr=""/>
                    <pic:cNvPicPr>
                      <a:picLocks noChangeAspect="1" noChangeArrowheads="1"/>
                    </pic:cNvPicPr>
                  </pic:nvPicPr>
                  <pic:blipFill>
                    <a:blip r:embed="rId56"/>
                    <a:stretch>
                      <a:fillRect/>
                    </a:stretch>
                  </pic:blipFill>
                  <pic:spPr bwMode="auto">
                    <a:xfrm>
                      <a:off x="0" y="0"/>
                      <a:ext cx="424180" cy="278130"/>
                    </a:xfrm>
                    <a:prstGeom prst="rect">
                      <a:avLst/>
                    </a:prstGeom>
                  </pic:spPr>
                </pic:pic>
              </a:graphicData>
            </a:graphic>
          </wp:inline>
        </w:drawing>
      </w:r>
      <w:r>
        <w:rPr>
          <w:sz w:val="28"/>
          <w:szCs w:val="28"/>
        </w:rPr>
        <w:t>) определяются</w:t>
        <w:br/>
        <w:t>по формуле (2).</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r>
      <m:oMath xmlns:m="http://schemas.openxmlformats.org/officeDocument/2006/math">
        <m:sSub>
          <m:e>
            <m:r>
              <w:rPr>
                <w:rFonts w:ascii="Cambria Math" w:hAnsi="Cambria Math"/>
              </w:rPr>
              <m:t xml:space="preserve">P</m:t>
            </m:r>
          </m:e>
          <m:sub>
            <m:r>
              <w:rPr>
                <w:rFonts w:ascii="Cambria Math" w:hAnsi="Cambria Math"/>
              </w:rPr>
              <m:t xml:space="preserve">ОТВ</m:t>
            </m:r>
            <m:r>
              <w:rPr>
                <w:rFonts w:ascii="Cambria Math" w:hAnsi="Cambria Math"/>
              </w:rPr>
              <m:t xml:space="preserve">ti</m:t>
            </m:r>
          </m:sub>
        </m:sSub>
        <m:r>
          <w:rPr>
            <w:rFonts w:ascii="Cambria Math" w:hAnsi="Cambria Math"/>
          </w:rPr>
          <m:t xml:space="preserve">=</m:t>
        </m:r>
        <m:f>
          <m:num>
            <m:r>
              <w:rPr>
                <w:rFonts w:ascii="Cambria Math" w:hAnsi="Cambria Math"/>
              </w:rPr>
              <m:t xml:space="preserve">12</m:t>
            </m:r>
            <m:r>
              <w:rPr>
                <w:rFonts w:ascii="Cambria Math" w:hAnsi="Cambria Math"/>
              </w:rPr>
              <m:t xml:space="preserve">×</m:t>
            </m:r>
            <m:sSub>
              <m:e>
                <m:r>
                  <w:rPr>
                    <w:rFonts w:ascii="Cambria Math" w:hAnsi="Cambria Math"/>
                  </w:rPr>
                  <m:t xml:space="preserve">ЗПВ</m:t>
                </m:r>
              </m:e>
              <m:sub>
                <m:r>
                  <w:rPr>
                    <w:rFonts w:ascii="Cambria Math" w:hAnsi="Cambria Math"/>
                  </w:rPr>
                  <m:t xml:space="preserve">i</m:t>
                </m:r>
              </m:sub>
            </m:sSub>
          </m:num>
          <m:den>
            <m:sSub>
              <m:e>
                <m:r>
                  <w:rPr>
                    <w:rFonts w:ascii="Cambria Math" w:hAnsi="Cambria Math"/>
                  </w:rPr>
                  <m:t xml:space="preserve">ФРВ</m:t>
                </m:r>
              </m:e>
              <m:sub>
                <m:r>
                  <w:rPr>
                    <w:rFonts w:ascii="Cambria Math" w:hAnsi="Cambria Math"/>
                  </w:rPr>
                  <m:t xml:space="preserve">в</m:t>
                </m:r>
              </m:sub>
            </m:sSub>
          </m:den>
        </m:f>
        <m:r>
          <w:rPr>
            <w:rFonts w:ascii="Cambria Math" w:hAnsi="Cambria Math"/>
          </w:rPr>
          <m:t xml:space="preserve">×</m:t>
        </m:r>
        <m:sSub>
          <m:e>
            <m:r>
              <w:rPr>
                <w:rFonts w:ascii="Cambria Math" w:hAnsi="Cambria Math"/>
              </w:rPr>
              <m:t xml:space="preserve">АЧ</m:t>
            </m:r>
          </m:e>
          <m:sub>
            <m:r>
              <w:rPr>
                <w:rFonts w:ascii="Cambria Math" w:hAnsi="Cambria Math"/>
              </w:rPr>
              <m:t xml:space="preserve">ti</m:t>
            </m:r>
          </m:sub>
        </m:sSub>
        <m:r>
          <w:rPr>
            <w:rFonts w:ascii="Cambria Math" w:hAnsi="Cambria Math"/>
          </w:rPr>
          <m:t xml:space="preserve">×</m:t>
        </m:r>
        <m:sSub>
          <m:e>
            <m:r>
              <w:rPr>
                <w:rFonts w:ascii="Cambria Math" w:hAnsi="Cambria Math"/>
              </w:rPr>
              <m:t xml:space="preserve">k</m:t>
            </m:r>
          </m:e>
          <m:sub>
            <m:r>
              <w:rPr>
                <w:rFonts w:ascii="Cambria Math" w:hAnsi="Cambria Math"/>
              </w:rPr>
              <m:t xml:space="preserve">пз</m:t>
            </m:r>
          </m:sub>
        </m:sSub>
        <m:r>
          <w:rPr>
            <w:rFonts w:ascii="Cambria Math" w:hAnsi="Cambria Math"/>
          </w:rPr>
          <m:t xml:space="preserve">×</m:t>
        </m:r>
        <m:f>
          <m:fPr>
            <m:type m:val="lin"/>
          </m:fPr>
          <m:num>
            <m:sSub>
              <m:e>
                <m:r>
                  <w:rPr>
                    <w:rFonts w:ascii="Cambria Math" w:hAnsi="Cambria Math"/>
                  </w:rPr>
                  <m:t xml:space="preserve">I</m:t>
                </m:r>
              </m:e>
              <m:sub>
                <m:r>
                  <w:rPr>
                    <w:rFonts w:ascii="Cambria Math" w:hAnsi="Cambria Math"/>
                  </w:rPr>
                  <m:t xml:space="preserve">пц</m:t>
                </m:r>
                <m:r>
                  <w:rPr>
                    <w:rFonts w:ascii="Cambria Math" w:hAnsi="Cambria Math"/>
                  </w:rPr>
                  <m:t xml:space="preserve">t</m:t>
                </m:r>
              </m:sub>
            </m:sSub>
          </m:num>
          <m:den>
            <m:sSub>
              <m:e>
                <m:r>
                  <w:rPr>
                    <w:rFonts w:ascii="Cambria Math" w:hAnsi="Cambria Math"/>
                  </w:rPr>
                  <m:t xml:space="preserve">L</m:t>
                </m:r>
              </m:e>
              <m:sub>
                <m:r>
                  <w:rPr>
                    <w:rFonts w:ascii="Cambria Math" w:hAnsi="Cambria Math"/>
                  </w:rPr>
                  <m:t xml:space="preserve">ti</m:t>
                </m:r>
              </m:sub>
            </m:sSub>
          </m:den>
        </m:f>
      </m:oMath>
      <w:r>
        <w:rPr>
          <w:sz w:val="28"/>
          <w:szCs w:val="28"/>
        </w:rPr>
        <w:t>, руб./км (2)</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sz w:val="28"/>
          <w:szCs w:val="28"/>
        </w:rPr>
        <w:t xml:space="preserve">12 </w:t>
      </w:r>
      <w:r>
        <w:rPr>
          <w:rFonts w:eastAsia="" w:cs="Times New Roman" w:eastAsiaTheme="minorEastAsia"/>
          <w:color w:val="auto"/>
          <w:kern w:val="0"/>
          <w:sz w:val="28"/>
          <w:szCs w:val="28"/>
          <w:lang w:val="ru-RU" w:eastAsia="ru-RU" w:bidi="ar-SA"/>
        </w:rPr>
        <w:t>−</w:t>
      </w:r>
      <w:r>
        <w:rPr>
          <w:sz w:val="28"/>
          <w:szCs w:val="28"/>
        </w:rPr>
        <w:t xml:space="preserve"> количество месяцев в году;</w:t>
      </w:r>
    </w:p>
    <w:p>
      <w:pPr>
        <w:pStyle w:val="ConsPlusNormal"/>
        <w:spacing w:before="0" w:after="0"/>
        <w:ind w:left="0" w:right="0" w:firstLine="709"/>
        <w:jc w:val="both"/>
        <w:rPr/>
      </w:pPr>
      <w:r>
        <w:rPr/>
        <w:drawing>
          <wp:inline distT="0" distB="0" distL="0" distR="0">
            <wp:extent cx="424180" cy="278130"/>
            <wp:effectExtent l="0" t="0" r="0" b="0"/>
            <wp:docPr id="53" name="Рисунок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Рисунок 58" descr=""/>
                    <pic:cNvPicPr>
                      <a:picLocks noChangeAspect="1" noChangeArrowheads="1"/>
                    </pic:cNvPicPr>
                  </pic:nvPicPr>
                  <pic:blipFill>
                    <a:blip r:embed="rId57"/>
                    <a:stretch>
                      <a:fillRect/>
                    </a:stretch>
                  </pic:blipFill>
                  <pic:spPr bwMode="auto">
                    <a:xfrm>
                      <a:off x="0" y="0"/>
                      <a:ext cx="42418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средняя месячная оплата труда водителя автобуса i-го класса (с учетом всех видов премий, надбавок и компенсаций), устанавливаемая на уровне не менее, чем определенном в соответствии с заключенным на территории соответствующего субъекта Российской Федерации, либо муниципального образования региональным, либо территориальным отраслевым соглашением в рамках реализации </w:t>
      </w:r>
      <w:hyperlink r:id="rId58">
        <w:r>
          <w:rPr>
            <w:sz w:val="28"/>
            <w:szCs w:val="28"/>
          </w:rPr>
          <w:t>статей 45</w:t>
        </w:r>
      </w:hyperlink>
      <w:r>
        <w:rPr>
          <w:sz w:val="28"/>
          <w:szCs w:val="28"/>
        </w:rPr>
        <w:t xml:space="preserve"> и </w:t>
      </w:r>
      <w:hyperlink r:id="rId59">
        <w:r>
          <w:rPr>
            <w:sz w:val="28"/>
            <w:szCs w:val="28"/>
          </w:rPr>
          <w:t>48</w:t>
        </w:r>
      </w:hyperlink>
      <w:r>
        <w:rPr>
          <w:sz w:val="28"/>
          <w:szCs w:val="28"/>
        </w:rPr>
        <w:t xml:space="preserve"> Трудового кодекса Российской Федерации, при отсутствии таких соглашений – на уровне не менее, чем определенном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 либо, при отсутствии такого заключенного соглашения - определенная в соответствии с пунктом 3 настоящего приложения;</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drawing>
          <wp:inline distT="0" distB="0" distL="0" distR="0">
            <wp:extent cx="402590" cy="278130"/>
            <wp:effectExtent l="0" t="0" r="0" b="0"/>
            <wp:docPr id="54" name="Рисунок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59" descr=""/>
                    <pic:cNvPicPr>
                      <a:picLocks noChangeAspect="1" noChangeArrowheads="1"/>
                    </pic:cNvPicPr>
                  </pic:nvPicPr>
                  <pic:blipFill>
                    <a:blip r:embed="rId60"/>
                    <a:stretch>
                      <a:fillRect/>
                    </a:stretch>
                  </pic:blipFill>
                  <pic:spPr bwMode="auto">
                    <a:xfrm>
                      <a:off x="0" y="0"/>
                      <a:ext cx="40259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планируемое количество часов работы автобусов i-го класса в t-ом году срока действия контракта (может определяться в соответствии с временем пробега по маршруту и частотой движения по периодам суток и дням недели, установленными Документом планирования регулярных перевозок для каждого из маршрутов, с учетом изменений планового времени пробега в период действия контракта при вводе выделенных полос транспорта общего пользования, иных мер по созданию приоритетных условий движения транспорта общего пользования), час.;</w:t>
      </w:r>
    </w:p>
    <w:p>
      <w:pPr>
        <w:pStyle w:val="ConsPlusNormal"/>
        <w:spacing w:before="0" w:after="0"/>
        <w:ind w:left="0" w:right="0" w:firstLine="709"/>
        <w:jc w:val="both"/>
        <w:rPr/>
      </w:pPr>
      <w:r>
        <w:rPr/>
        <w:drawing>
          <wp:inline distT="0" distB="0" distL="0" distR="0">
            <wp:extent cx="248920" cy="278130"/>
            <wp:effectExtent l="0" t="0" r="0" b="0"/>
            <wp:docPr id="55" name="Рисунок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Рисунок 60" descr=""/>
                    <pic:cNvPicPr>
                      <a:picLocks noChangeAspect="1" noChangeArrowheads="1"/>
                    </pic:cNvPicPr>
                  </pic:nvPicPr>
                  <pic:blipFill>
                    <a:blip r:embed="rId61"/>
                    <a:stretch>
                      <a:fillRect/>
                    </a:stretch>
                  </pic:blipFill>
                  <pic:spPr bwMode="auto">
                    <a:xfrm>
                      <a:off x="0" y="0"/>
                      <a:ext cx="24892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коэффициент, характеризующий продолжительность подготовительно-заключительного времени, времени прохождения предрейсовых инструктажей</w:t>
        <w:br/>
        <w:t xml:space="preserve">и медицинских осмотров водителя (при использовании автоматизированной системы контроля за оплатой проезда с оборудованием, ежедневно устанавливаемым и демонтируемым водителем на транспортные средства, принимается равным 1,08, в иных случаях </w:t>
      </w:r>
      <w:r>
        <w:rPr>
          <w:rFonts w:eastAsia="" w:cs="Times New Roman" w:eastAsiaTheme="minorEastAsia"/>
          <w:sz w:val="28"/>
          <w:szCs w:val="28"/>
          <w:lang w:eastAsia="ru-RU"/>
        </w:rPr>
        <w:t>−</w:t>
      </w:r>
      <w:r>
        <w:rPr>
          <w:sz w:val="28"/>
          <w:szCs w:val="28"/>
        </w:rPr>
        <w:t xml:space="preserve"> 1,06);</w:t>
      </w:r>
    </w:p>
    <w:p>
      <w:pPr>
        <w:pStyle w:val="ConsPlusNormal"/>
        <w:spacing w:before="0" w:after="0"/>
        <w:ind w:left="0" w:right="0" w:firstLine="709"/>
        <w:jc w:val="both"/>
        <w:rPr/>
      </w:pPr>
      <w:r>
        <w:rPr/>
        <w:drawing>
          <wp:inline distT="0" distB="0" distL="0" distR="0">
            <wp:extent cx="278130" cy="285115"/>
            <wp:effectExtent l="0" t="0" r="0" b="0"/>
            <wp:docPr id="56" name="Рисунок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Рисунок 61" descr=""/>
                    <pic:cNvPicPr>
                      <a:picLocks noChangeAspect="1" noChangeArrowheads="1"/>
                    </pic:cNvPicPr>
                  </pic:nvPicPr>
                  <pic:blipFill>
                    <a:blip r:embed="rId62"/>
                    <a:stretch>
                      <a:fillRect/>
                    </a:stretch>
                  </pic:blipFill>
                  <pic:spPr bwMode="auto">
                    <a:xfrm>
                      <a:off x="0" y="0"/>
                      <a:ext cx="278130"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индекс потребительских цен для t-го года срока действия контракта, принимаемый в соответствии с публикуемыми Минэкономразвития России прогнозами социально-экономического развития Российской Федерации (если срок действия контракта превышает срок прогноза, индекс потребительских цен для каждого года срока действия контракта, не указанного в прогнозе, принимается равным индексу потребительских цен, указанному для последнего года прогноза);</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drawing>
          <wp:inline distT="0" distB="0" distL="0" distR="0">
            <wp:extent cx="219710" cy="278130"/>
            <wp:effectExtent l="0" t="0" r="0" b="0"/>
            <wp:docPr id="57" name="Рисунок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Рисунок 62" descr=""/>
                    <pic:cNvPicPr>
                      <a:picLocks noChangeAspect="1" noChangeArrowheads="1"/>
                    </pic:cNvPicPr>
                  </pic:nvPicPr>
                  <pic:blipFill>
                    <a:blip r:embed="rId63"/>
                    <a:stretch>
                      <a:fillRect/>
                    </a:stretch>
                  </pic:blipFill>
                  <pic:spPr bwMode="auto">
                    <a:xfrm>
                      <a:off x="0" y="0"/>
                      <a:ext cx="21971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предусмотренный контрактом планируемый пробег транспортных средств i-го класса в t-ом году срока действия контракта (может определяться в соответствии с длиной рейсов и частотой движения по периодам суток и дням недели, установленными Документом планирования регулярных перевозок для каждого из маршрутов, с учетом планируемых изменений трасс и параметров движения в период исполнения контракта), км;</w:t>
      </w:r>
    </w:p>
    <w:p>
      <w:pPr>
        <w:pStyle w:val="ConsPlusNormal"/>
        <w:spacing w:before="0" w:after="0"/>
        <w:ind w:left="0" w:right="0" w:firstLine="709"/>
        <w:jc w:val="both"/>
        <w:rPr/>
      </w:pPr>
      <w:r>
        <w:rPr/>
        <w:drawing>
          <wp:inline distT="0" distB="0" distL="0" distR="0">
            <wp:extent cx="461010" cy="278130"/>
            <wp:effectExtent l="0" t="0" r="0" b="0"/>
            <wp:docPr id="58" name="Рисунок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Рисунок 63" descr=""/>
                    <pic:cNvPicPr>
                      <a:picLocks noChangeAspect="1" noChangeArrowheads="1"/>
                    </pic:cNvPicPr>
                  </pic:nvPicPr>
                  <pic:blipFill>
                    <a:blip r:embed="rId64"/>
                    <a:stretch>
                      <a:fillRect/>
                    </a:stretch>
                  </pic:blipFill>
                  <pic:spPr bwMode="auto">
                    <a:xfrm>
                      <a:off x="0" y="0"/>
                      <a:ext cx="461010" cy="278130"/>
                    </a:xfrm>
                    <a:prstGeom prst="rect">
                      <a:avLst/>
                    </a:prstGeom>
                  </pic:spPr>
                </pic:pic>
              </a:graphicData>
            </a:graphic>
          </wp:inline>
        </w:drawing>
      </w:r>
      <w:r>
        <w:rPr>
          <w:sz w:val="28"/>
          <w:szCs w:val="28"/>
        </w:rPr>
        <w:t xml:space="preserve"> </w:t>
      </w:r>
      <w:r>
        <w:rPr>
          <w:sz w:val="28"/>
          <w:szCs w:val="28"/>
        </w:rPr>
        <w:t>- годовой фонд рабочего времени водителя транспортных средств при соблюдении нормальной, 40-часовой, продолжительности рабочего времени в неделю, с учетом ежегодного отпуска 28 календарных дней и обязательного дополнительно предоставляемого водителям отпуска 7 календарных дней (принимается равным 1772 часа).</w:t>
      </w:r>
    </w:p>
    <w:p>
      <w:pPr>
        <w:pStyle w:val="ConsPlusNormal"/>
        <w:spacing w:before="0" w:after="0"/>
        <w:ind w:left="0" w:right="0" w:firstLine="709"/>
        <w:jc w:val="both"/>
        <w:rPr/>
      </w:pPr>
      <w:bookmarkStart w:id="8" w:name="Par187"/>
      <w:bookmarkEnd w:id="8"/>
      <w:r>
        <w:rPr>
          <w:sz w:val="28"/>
          <w:szCs w:val="28"/>
        </w:rPr>
        <w:t xml:space="preserve">3. При отсутствии на территории соответствующего субъекта Российской Федерации либо муниципального образования регионального либо территориального отраслевого соглашения, заключенного в рамках реализации </w:t>
      </w:r>
      <w:hyperlink r:id="rId65">
        <w:r>
          <w:rPr>
            <w:sz w:val="28"/>
            <w:szCs w:val="28"/>
          </w:rPr>
          <w:t>статей 45</w:t>
        </w:r>
      </w:hyperlink>
      <w:r>
        <w:rPr>
          <w:sz w:val="28"/>
          <w:szCs w:val="28"/>
        </w:rPr>
        <w:t xml:space="preserve"> и </w:t>
      </w:r>
      <w:hyperlink r:id="rId66">
        <w:r>
          <w:rPr>
            <w:sz w:val="28"/>
            <w:szCs w:val="28"/>
          </w:rPr>
          <w:t>48</w:t>
        </w:r>
      </w:hyperlink>
      <w:r>
        <w:rPr>
          <w:sz w:val="28"/>
          <w:szCs w:val="28"/>
        </w:rPr>
        <w:t xml:space="preserve"> Трудового кодекса Российской Федерации и Федерального отраслевого </w:t>
      </w:r>
      <w:hyperlink r:id="rId67">
        <w:r>
          <w:rPr>
            <w:sz w:val="28"/>
            <w:szCs w:val="28"/>
          </w:rPr>
          <w:t>соглашения</w:t>
        </w:r>
      </w:hyperlink>
      <w:r>
        <w:rPr>
          <w:sz w:val="28"/>
          <w:szCs w:val="28"/>
        </w:rPr>
        <w:t xml:space="preserve"> по автомобильному и городскому наземному пассажирскому транспорту или Отраслевого </w:t>
      </w:r>
      <w:hyperlink r:id="rId68">
        <w:r>
          <w:rPr>
            <w:sz w:val="28"/>
            <w:szCs w:val="28"/>
          </w:rPr>
          <w:t>соглашения</w:t>
        </w:r>
      </w:hyperlink>
      <w:r>
        <w:rPr>
          <w:sz w:val="28"/>
          <w:szCs w:val="28"/>
        </w:rPr>
        <w:t xml:space="preserve"> по организациям наземного городского электрического транспорта Российской Федерации, средняя месячная оплата труда водителя автобуса i-го класса (с учетом всех видов премий, надбавок и компенсаций) выбирается наибольшая из определенной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 (для водителей автобуса соответствующего класса), либо определяется по формуле (3).</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2757805" cy="278130"/>
            <wp:effectExtent l="0" t="0" r="0" b="0"/>
            <wp:docPr id="59" name="Рисунок 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Рисунок 64" descr=""/>
                    <pic:cNvPicPr>
                      <a:picLocks noChangeAspect="1" noChangeArrowheads="1"/>
                    </pic:cNvPicPr>
                  </pic:nvPicPr>
                  <pic:blipFill>
                    <a:blip r:embed="rId69"/>
                    <a:stretch>
                      <a:fillRect/>
                    </a:stretch>
                  </pic:blipFill>
                  <pic:spPr bwMode="auto">
                    <a:xfrm>
                      <a:off x="0" y="0"/>
                      <a:ext cx="2757805" cy="278130"/>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409575" cy="219710"/>
            <wp:effectExtent l="0" t="0" r="0" b="0"/>
            <wp:docPr id="60"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Рисунок 65" descr=""/>
                    <pic:cNvPicPr>
                      <a:picLocks noChangeAspect="1" noChangeArrowheads="1"/>
                    </pic:cNvPicPr>
                  </pic:nvPicPr>
                  <pic:blipFill>
                    <a:blip r:embed="rId70"/>
                    <a:stretch>
                      <a:fillRect/>
                    </a:stretch>
                  </pic:blipFill>
                  <pic:spPr bwMode="auto">
                    <a:xfrm>
                      <a:off x="0" y="0"/>
                      <a:ext cx="409575" cy="21971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(для муниципальных маршрутов в границах поселения, городского округа или двух и более поселений одного муниципального района принимается в соответствии с данными Росстата</w:t>
        <w:br/>
        <w:t xml:space="preserve">в отношении указанных административно-территориальных единиц субъекта Российской Федерации, для муниципальных маршрутов в границах субъектов Российской Федерации </w:t>
      </w:r>
      <w:r>
        <w:rPr>
          <w:rFonts w:eastAsia="" w:cs="Times New Roman" w:eastAsiaTheme="minorEastAsia"/>
          <w:color w:val="auto"/>
          <w:kern w:val="0"/>
          <w:sz w:val="28"/>
          <w:szCs w:val="28"/>
          <w:lang w:val="ru-RU" w:eastAsia="ru-RU" w:bidi="ar-SA"/>
        </w:rPr>
        <w:t>−</w:t>
      </w:r>
      <w:r>
        <w:rPr>
          <w:sz w:val="28"/>
          <w:szCs w:val="28"/>
        </w:rPr>
        <w:t xml:space="preserve"> городов федерального значения Москвы,</w:t>
        <w:br/>
        <w:t xml:space="preserve">Санкт-Петербурга или Севастополя </w:t>
      </w:r>
      <w:r>
        <w:rPr>
          <w:rFonts w:eastAsia="" w:cs="Times New Roman" w:eastAsiaTheme="minorEastAsia"/>
          <w:color w:val="auto"/>
          <w:kern w:val="0"/>
          <w:sz w:val="28"/>
          <w:szCs w:val="28"/>
          <w:lang w:val="ru-RU" w:eastAsia="ru-RU" w:bidi="ar-SA"/>
        </w:rPr>
        <w:t>−</w:t>
      </w:r>
      <w:r>
        <w:rPr>
          <w:sz w:val="28"/>
          <w:szCs w:val="28"/>
        </w:rPr>
        <w:t xml:space="preserve"> в соответствии с данными Росстата</w:t>
        <w:br/>
        <w:t xml:space="preserve">в отношении указанных субъектов Российской Федерации, для межмуниципальных маршрутов в границах субъекта Российской Федерации </w:t>
      </w:r>
      <w:r>
        <w:rPr>
          <w:rFonts w:eastAsia="" w:cs="Times New Roman" w:eastAsiaTheme="minorEastAsia"/>
          <w:color w:val="auto"/>
          <w:kern w:val="0"/>
          <w:sz w:val="28"/>
          <w:szCs w:val="28"/>
          <w:lang w:val="ru-RU" w:eastAsia="ru-RU" w:bidi="ar-SA"/>
        </w:rPr>
        <w:t>−</w:t>
      </w:r>
      <w:r>
        <w:rPr>
          <w:sz w:val="28"/>
          <w:szCs w:val="28"/>
        </w:rPr>
        <w:t xml:space="preserve"> в соответствии с данными Росстата в отношении этого субъекта Российской Федерации, для смежных межрегиональных маршрутов в сообщении с субъектами Российской Федерации </w:t>
      </w:r>
      <w:r>
        <w:rPr>
          <w:rFonts w:eastAsia="" w:cs="Times New Roman" w:eastAsiaTheme="minorEastAsia"/>
          <w:color w:val="auto"/>
          <w:kern w:val="0"/>
          <w:sz w:val="28"/>
          <w:szCs w:val="28"/>
          <w:lang w:val="ru-RU" w:eastAsia="ru-RU" w:bidi="ar-SA"/>
        </w:rPr>
        <w:t>−</w:t>
      </w:r>
      <w:r>
        <w:rPr>
          <w:sz w:val="28"/>
          <w:szCs w:val="28"/>
        </w:rPr>
        <w:t xml:space="preserve"> городами федерального значения Москвой, Санкт-Петербургом или Севастополем </w:t>
      </w:r>
      <w:r>
        <w:rPr>
          <w:rFonts w:eastAsia="" w:cs="Times New Roman" w:eastAsiaTheme="minorEastAsia"/>
          <w:color w:val="auto"/>
          <w:kern w:val="0"/>
          <w:sz w:val="28"/>
          <w:szCs w:val="28"/>
          <w:lang w:val="ru-RU" w:eastAsia="ru-RU" w:bidi="ar-SA"/>
        </w:rPr>
        <w:t>−</w:t>
      </w:r>
      <w:r>
        <w:rPr>
          <w:sz w:val="28"/>
          <w:szCs w:val="28"/>
        </w:rPr>
        <w:t xml:space="preserve"> в соответствии с данными Росстата в отношении этих субъектов Российской Федерации), руб.;</w:t>
      </w:r>
    </w:p>
    <w:p>
      <w:pPr>
        <w:pStyle w:val="ConsPlusNormal"/>
        <w:spacing w:before="0" w:after="0"/>
        <w:ind w:left="0" w:right="0" w:firstLine="709"/>
        <w:jc w:val="both"/>
        <w:rPr/>
      </w:pPr>
      <w:r>
        <w:rPr/>
        <w:drawing>
          <wp:inline distT="0" distB="0" distL="0" distR="0">
            <wp:extent cx="365760" cy="278130"/>
            <wp:effectExtent l="0" t="0" r="0" b="0"/>
            <wp:docPr id="61" name="Рисунок 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Рисунок 66" descr=""/>
                    <pic:cNvPicPr>
                      <a:picLocks noChangeAspect="1" noChangeArrowheads="1"/>
                    </pic:cNvPicPr>
                  </pic:nvPicPr>
                  <pic:blipFill>
                    <a:blip r:embed="rId71"/>
                    <a:stretch>
                      <a:fillRect/>
                    </a:stretch>
                  </pic:blipFill>
                  <pic:spPr bwMode="auto">
                    <a:xfrm>
                      <a:off x="0" y="0"/>
                      <a:ext cx="36576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коэффициент, учитывающий дифференциацию заработной платы водителей в зависимости от класса транспортного средства и вида маршрутов (принимается в соответствии с </w:t>
      </w:r>
      <w:hyperlink w:anchor="Par198" w:tgtFrame="Коэффициенты, учитывающие дифференциацию заработных плат">
        <w:r>
          <w:rPr>
            <w:sz w:val="28"/>
            <w:szCs w:val="28"/>
          </w:rPr>
          <w:t>таблицей 1</w:t>
        </w:r>
      </w:hyperlink>
      <w:r>
        <w:rPr>
          <w:sz w:val="28"/>
          <w:szCs w:val="28"/>
        </w:rPr>
        <w:t>);</w:t>
      </w:r>
    </w:p>
    <w:p>
      <w:pPr>
        <w:pStyle w:val="ConsPlusNormal"/>
        <w:spacing w:before="0" w:after="0"/>
        <w:ind w:left="0" w:right="0" w:firstLine="709"/>
        <w:jc w:val="both"/>
        <w:rPr/>
      </w:pPr>
      <w:r>
        <w:rPr/>
        <w:drawing>
          <wp:inline distT="0" distB="0" distL="0" distR="0">
            <wp:extent cx="314325" cy="278130"/>
            <wp:effectExtent l="0" t="0" r="0" b="0"/>
            <wp:docPr id="62" name="Рисунок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Рисунок 67" descr=""/>
                    <pic:cNvPicPr>
                      <a:picLocks noChangeAspect="1" noChangeArrowheads="1"/>
                    </pic:cNvPicPr>
                  </pic:nvPicPr>
                  <pic:blipFill>
                    <a:blip r:embed="rId72"/>
                    <a:stretch>
                      <a:fillRect/>
                    </a:stretch>
                  </pic:blipFill>
                  <pic:spPr bwMode="auto">
                    <a:xfrm>
                      <a:off x="0" y="0"/>
                      <a:ext cx="31432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коэффициент, учитывающий особенности рынка труда в городах с численностью населения свыше миллиона человек (для г. Москвы принимается равным не менее 0,45, для г. Санкт-Петербурга - не менее 0,7, для других городов с численностью населения свыше миллиона человек - не менее 0,8, для прочих муниципальных образований - 1,0).</w:t>
      </w:r>
    </w:p>
    <w:p>
      <w:pPr>
        <w:pStyle w:val="ConsPlusNormal"/>
        <w:numPr>
          <w:ilvl w:val="0"/>
          <w:numId w:val="0"/>
        </w:numPr>
        <w:spacing w:before="0" w:after="0"/>
        <w:ind w:left="0" w:right="0" w:firstLine="709"/>
        <w:jc w:val="right"/>
        <w:outlineLvl w:val="2"/>
        <w:rPr/>
      </w:pPr>
      <w:r>
        <w:rPr>
          <w:sz w:val="28"/>
          <w:szCs w:val="28"/>
        </w:rPr>
        <w:t>Таблица 1</w:t>
      </w:r>
    </w:p>
    <w:p>
      <w:pPr>
        <w:pStyle w:val="ConsPlusNormal"/>
        <w:spacing w:before="0" w:after="0"/>
        <w:ind w:left="0" w:right="0" w:firstLine="709"/>
        <w:jc w:val="both"/>
        <w:rPr>
          <w:sz w:val="28"/>
          <w:szCs w:val="28"/>
        </w:rPr>
      </w:pPr>
      <w:r>
        <w:rPr>
          <w:sz w:val="28"/>
          <w:szCs w:val="28"/>
        </w:rPr>
      </w:r>
    </w:p>
    <w:p>
      <w:pPr>
        <w:pStyle w:val="ConsPlusTitle"/>
        <w:spacing w:before="0" w:after="0"/>
        <w:ind w:left="0" w:right="0" w:firstLine="709"/>
        <w:jc w:val="center"/>
        <w:rPr/>
      </w:pPr>
      <w:bookmarkStart w:id="9" w:name="Par198"/>
      <w:bookmarkEnd w:id="9"/>
      <w:r>
        <w:rPr>
          <w:rFonts w:cs="Times New Roman" w:ascii="Times New Roman" w:hAnsi="Times New Roman"/>
          <w:sz w:val="28"/>
          <w:szCs w:val="28"/>
        </w:rPr>
        <w:t>Коэффициенты, учитывающие дифференциацию заработных плат</w:t>
      </w:r>
    </w:p>
    <w:p>
      <w:pPr>
        <w:pStyle w:val="ConsPlusTitle"/>
        <w:spacing w:before="0" w:after="0"/>
        <w:ind w:left="0" w:right="0" w:firstLine="709"/>
        <w:jc w:val="center"/>
        <w:rPr/>
      </w:pPr>
      <w:r>
        <w:rPr>
          <w:rFonts w:cs="Times New Roman" w:ascii="Times New Roman" w:hAnsi="Times New Roman"/>
          <w:sz w:val="28"/>
          <w:szCs w:val="28"/>
        </w:rPr>
        <w:t>работников в зависимости от класса транспортного средства</w:t>
      </w:r>
    </w:p>
    <w:p>
      <w:pPr>
        <w:pStyle w:val="ConsPlusTitle"/>
        <w:spacing w:before="0" w:after="0"/>
        <w:ind w:left="0" w:right="0" w:firstLine="709"/>
        <w:jc w:val="center"/>
        <w:rPr/>
      </w:pPr>
      <w:r>
        <w:rPr>
          <w:rFonts w:cs="Times New Roman" w:ascii="Times New Roman" w:hAnsi="Times New Roman"/>
          <w:sz w:val="28"/>
          <w:szCs w:val="28"/>
        </w:rPr>
        <w:t>и вида маршрута (</w:t>
      </w:r>
      <w:r>
        <w:rPr/>
        <w:drawing>
          <wp:inline distT="0" distB="0" distL="0" distR="0">
            <wp:extent cx="365760" cy="278130"/>
            <wp:effectExtent l="0" t="0" r="0" b="0"/>
            <wp:docPr id="63" name="Рисунок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Рисунок 68" descr=""/>
                    <pic:cNvPicPr>
                      <a:picLocks noChangeAspect="1" noChangeArrowheads="1"/>
                    </pic:cNvPicPr>
                  </pic:nvPicPr>
                  <pic:blipFill>
                    <a:blip r:embed="rId71"/>
                    <a:stretch>
                      <a:fillRect/>
                    </a:stretch>
                  </pic:blipFill>
                  <pic:spPr bwMode="auto">
                    <a:xfrm>
                      <a:off x="0" y="0"/>
                      <a:ext cx="365760" cy="278130"/>
                    </a:xfrm>
                    <a:prstGeom prst="rect">
                      <a:avLst/>
                    </a:prstGeom>
                  </pic:spPr>
                </pic:pic>
              </a:graphicData>
            </a:graphic>
          </wp:inline>
        </w:drawing>
      </w:r>
      <w:r>
        <w:rPr>
          <w:rFonts w:cs="Times New Roman" w:ascii="Times New Roman" w:hAnsi="Times New Roman"/>
          <w:sz w:val="28"/>
          <w:szCs w:val="28"/>
        </w:rPr>
        <w:t xml:space="preserve">, </w:t>
      </w:r>
      <w:r>
        <w:rPr/>
        <w:drawing>
          <wp:inline distT="0" distB="0" distL="0" distR="0">
            <wp:extent cx="336550" cy="278130"/>
            <wp:effectExtent l="0" t="0" r="0" b="0"/>
            <wp:docPr id="64" name="Рисунок 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Рисунок 69" descr=""/>
                    <pic:cNvPicPr>
                      <a:picLocks noChangeAspect="1" noChangeArrowheads="1"/>
                    </pic:cNvPicPr>
                  </pic:nvPicPr>
                  <pic:blipFill>
                    <a:blip r:embed="rId73"/>
                    <a:stretch>
                      <a:fillRect/>
                    </a:stretch>
                  </pic:blipFill>
                  <pic:spPr bwMode="auto">
                    <a:xfrm>
                      <a:off x="0" y="0"/>
                      <a:ext cx="336550" cy="278130"/>
                    </a:xfrm>
                    <a:prstGeom prst="rect">
                      <a:avLst/>
                    </a:prstGeom>
                  </pic:spPr>
                </pic:pic>
              </a:graphicData>
            </a:graphic>
          </wp:inline>
        </w:drawing>
      </w:r>
      <w:r>
        <w:rPr>
          <w:rFonts w:cs="Times New Roman" w:ascii="Times New Roman" w:hAnsi="Times New Roman"/>
          <w:sz w:val="28"/>
          <w:szCs w:val="28"/>
        </w:rPr>
        <w:t>)</w:t>
      </w:r>
    </w:p>
    <w:p>
      <w:pPr>
        <w:pStyle w:val="ConsPlusNormal"/>
        <w:spacing w:before="0" w:after="0"/>
        <w:ind w:left="0" w:right="0" w:firstLine="709"/>
        <w:jc w:val="both"/>
        <w:rPr>
          <w:sz w:val="28"/>
          <w:szCs w:val="28"/>
        </w:rPr>
      </w:pPr>
      <w:r>
        <w:rPr>
          <w:sz w:val="28"/>
          <w:szCs w:val="28"/>
        </w:rPr>
      </w:r>
    </w:p>
    <w:tbl>
      <w:tblPr>
        <w:tblW w:w="9780" w:type="dxa"/>
        <w:jc w:val="center"/>
        <w:tblInd w:w="0" w:type="dxa"/>
        <w:tblLayout w:type="fixed"/>
        <w:tblCellMar>
          <w:top w:w="102" w:type="dxa"/>
          <w:left w:w="62" w:type="dxa"/>
          <w:bottom w:w="102" w:type="dxa"/>
          <w:right w:w="62" w:type="dxa"/>
        </w:tblCellMar>
        <w:tblLook w:val="0000" w:noVBand="0" w:noHBand="0" w:lastColumn="0" w:firstColumn="0" w:lastRow="0" w:firstRow="0"/>
      </w:tblPr>
      <w:tblGrid>
        <w:gridCol w:w="1005"/>
        <w:gridCol w:w="2025"/>
        <w:gridCol w:w="4260"/>
        <w:gridCol w:w="2490"/>
      </w:tblGrid>
      <w:tr>
        <w:trPr/>
        <w:tc>
          <w:tcPr>
            <w:tcW w:w="100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 xml:space="preserve">№ </w:t>
            </w:r>
            <w:r>
              <w:rPr>
                <w:sz w:val="28"/>
                <w:szCs w:val="28"/>
              </w:rPr>
              <w:t>п/п</w:t>
            </w:r>
          </w:p>
        </w:tc>
        <w:tc>
          <w:tcPr>
            <w:tcW w:w="202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Категория работника</w:t>
            </w:r>
          </w:p>
        </w:tc>
        <w:tc>
          <w:tcPr>
            <w:tcW w:w="4260"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Муниципальные маршруты</w:t>
              <w:br/>
              <w:t>в границах городских округов,</w:t>
              <w:br/>
              <w:t>а также маршруты в границах городов федерального значения Москвы, Санкт-Петербурга, Севастополя</w:t>
            </w:r>
          </w:p>
        </w:tc>
        <w:tc>
          <w:tcPr>
            <w:tcW w:w="2490"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Прочие маршруты (следующие за пределы городских округов)</w:t>
            </w:r>
          </w:p>
        </w:tc>
      </w:tr>
      <w:tr>
        <w:trPr/>
        <w:tc>
          <w:tcPr>
            <w:tcW w:w="10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uppressAutoHyphens w:val="true"/>
              <w:bidi w:val="0"/>
              <w:spacing w:before="0" w:after="0"/>
              <w:ind w:left="0" w:right="0" w:hanging="0"/>
              <w:jc w:val="center"/>
              <w:rPr>
                <w:sz w:val="28"/>
                <w:szCs w:val="28"/>
              </w:rPr>
            </w:pPr>
            <w:r>
              <w:rPr>
                <w:sz w:val="28"/>
                <w:szCs w:val="28"/>
              </w:rPr>
              <w:t>1</w:t>
            </w:r>
          </w:p>
        </w:tc>
        <w:tc>
          <w:tcPr>
            <w:tcW w:w="202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Водитель автобуса особо малого класса</w:t>
            </w:r>
          </w:p>
        </w:tc>
        <w:tc>
          <w:tcPr>
            <w:tcW w:w="42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before="0" w:after="0"/>
              <w:ind w:left="0" w:right="0" w:firstLine="709"/>
              <w:jc w:val="center"/>
              <w:rPr>
                <w:sz w:val="28"/>
                <w:szCs w:val="28"/>
              </w:rPr>
            </w:pPr>
            <w:r>
              <w:rPr>
                <w:sz w:val="28"/>
                <w:szCs w:val="28"/>
              </w:rPr>
              <w:t>0,85</w:t>
            </w:r>
          </w:p>
        </w:tc>
        <w:tc>
          <w:tcPr>
            <w:tcW w:w="24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before="0" w:after="0"/>
              <w:ind w:left="0" w:right="0" w:firstLine="709"/>
              <w:jc w:val="center"/>
              <w:rPr>
                <w:sz w:val="28"/>
                <w:szCs w:val="28"/>
              </w:rPr>
            </w:pPr>
            <w:r>
              <w:rPr>
                <w:sz w:val="28"/>
                <w:szCs w:val="28"/>
              </w:rPr>
              <w:t>1,08</w:t>
            </w:r>
          </w:p>
        </w:tc>
      </w:tr>
      <w:tr>
        <w:trPr/>
        <w:tc>
          <w:tcPr>
            <w:tcW w:w="10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uppressAutoHyphens w:val="true"/>
              <w:bidi w:val="0"/>
              <w:spacing w:before="0" w:after="0"/>
              <w:ind w:left="0" w:right="0" w:hanging="0"/>
              <w:jc w:val="center"/>
              <w:rPr>
                <w:sz w:val="28"/>
                <w:szCs w:val="28"/>
              </w:rPr>
            </w:pPr>
            <w:r>
              <w:rPr>
                <w:sz w:val="28"/>
                <w:szCs w:val="28"/>
              </w:rPr>
              <w:t>2</w:t>
            </w:r>
          </w:p>
        </w:tc>
        <w:tc>
          <w:tcPr>
            <w:tcW w:w="202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Водитель автобуса малого класса</w:t>
            </w:r>
          </w:p>
        </w:tc>
        <w:tc>
          <w:tcPr>
            <w:tcW w:w="42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before="0" w:after="0"/>
              <w:ind w:left="0" w:right="0" w:firstLine="709"/>
              <w:jc w:val="center"/>
              <w:rPr>
                <w:sz w:val="28"/>
                <w:szCs w:val="28"/>
              </w:rPr>
            </w:pPr>
            <w:r>
              <w:rPr>
                <w:sz w:val="28"/>
                <w:szCs w:val="28"/>
              </w:rPr>
              <w:t>0,98</w:t>
            </w:r>
          </w:p>
        </w:tc>
        <w:tc>
          <w:tcPr>
            <w:tcW w:w="24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before="0" w:after="0"/>
              <w:ind w:left="0" w:right="0" w:firstLine="709"/>
              <w:jc w:val="center"/>
              <w:rPr>
                <w:sz w:val="28"/>
                <w:szCs w:val="28"/>
              </w:rPr>
            </w:pPr>
            <w:r>
              <w:rPr>
                <w:sz w:val="28"/>
                <w:szCs w:val="28"/>
              </w:rPr>
              <w:t>1,</w:t>
            </w:r>
            <w:r>
              <w:rPr>
                <w:sz w:val="28"/>
                <w:szCs w:val="28"/>
                <w:lang w:val="en-US"/>
              </w:rPr>
              <w:t>1</w:t>
            </w:r>
            <w:r>
              <w:rPr>
                <w:sz w:val="28"/>
                <w:szCs w:val="28"/>
              </w:rPr>
              <w:t>5</w:t>
            </w:r>
          </w:p>
        </w:tc>
      </w:tr>
      <w:tr>
        <w:trPr/>
        <w:tc>
          <w:tcPr>
            <w:tcW w:w="10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uppressAutoHyphens w:val="true"/>
              <w:bidi w:val="0"/>
              <w:spacing w:before="0" w:after="0"/>
              <w:ind w:left="0" w:right="0" w:hanging="0"/>
              <w:jc w:val="center"/>
              <w:rPr>
                <w:sz w:val="28"/>
                <w:szCs w:val="28"/>
              </w:rPr>
            </w:pPr>
            <w:r>
              <w:rPr>
                <w:sz w:val="28"/>
                <w:szCs w:val="28"/>
              </w:rPr>
              <w:t>3</w:t>
            </w:r>
          </w:p>
        </w:tc>
        <w:tc>
          <w:tcPr>
            <w:tcW w:w="202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Водитель автобуса среднего класса</w:t>
            </w:r>
          </w:p>
        </w:tc>
        <w:tc>
          <w:tcPr>
            <w:tcW w:w="42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before="0" w:after="0"/>
              <w:ind w:left="0" w:right="0" w:firstLine="709"/>
              <w:jc w:val="center"/>
              <w:rPr>
                <w:sz w:val="28"/>
                <w:szCs w:val="28"/>
              </w:rPr>
            </w:pPr>
            <w:r>
              <w:rPr>
                <w:sz w:val="28"/>
                <w:szCs w:val="28"/>
              </w:rPr>
              <w:t>1,05</w:t>
            </w:r>
          </w:p>
        </w:tc>
        <w:tc>
          <w:tcPr>
            <w:tcW w:w="24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before="0" w:after="0"/>
              <w:ind w:left="0" w:right="0" w:firstLine="709"/>
              <w:jc w:val="center"/>
              <w:rPr>
                <w:sz w:val="28"/>
                <w:szCs w:val="28"/>
              </w:rPr>
            </w:pPr>
            <w:r>
              <w:rPr>
                <w:sz w:val="28"/>
                <w:szCs w:val="28"/>
              </w:rPr>
              <w:t>1,28</w:t>
            </w:r>
          </w:p>
        </w:tc>
      </w:tr>
      <w:tr>
        <w:trPr/>
        <w:tc>
          <w:tcPr>
            <w:tcW w:w="10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uppressAutoHyphens w:val="true"/>
              <w:bidi w:val="0"/>
              <w:spacing w:before="0" w:after="0"/>
              <w:ind w:left="0" w:right="0" w:hanging="0"/>
              <w:jc w:val="center"/>
              <w:rPr>
                <w:sz w:val="28"/>
                <w:szCs w:val="28"/>
              </w:rPr>
            </w:pPr>
            <w:r>
              <w:rPr>
                <w:sz w:val="28"/>
                <w:szCs w:val="28"/>
              </w:rPr>
              <w:t>4</w:t>
            </w:r>
          </w:p>
        </w:tc>
        <w:tc>
          <w:tcPr>
            <w:tcW w:w="202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Водитель автобуса большого класса</w:t>
            </w:r>
          </w:p>
        </w:tc>
        <w:tc>
          <w:tcPr>
            <w:tcW w:w="42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before="0" w:after="0"/>
              <w:ind w:left="0" w:right="0" w:firstLine="709"/>
              <w:jc w:val="center"/>
              <w:rPr>
                <w:sz w:val="28"/>
                <w:szCs w:val="28"/>
              </w:rPr>
            </w:pPr>
            <w:r>
              <w:rPr>
                <w:sz w:val="28"/>
                <w:szCs w:val="28"/>
              </w:rPr>
              <w:t>1,43</w:t>
            </w:r>
          </w:p>
        </w:tc>
        <w:tc>
          <w:tcPr>
            <w:tcW w:w="24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before="0" w:after="0"/>
              <w:ind w:left="0" w:right="0" w:firstLine="709"/>
              <w:jc w:val="center"/>
              <w:rPr>
                <w:sz w:val="28"/>
                <w:szCs w:val="28"/>
              </w:rPr>
            </w:pPr>
            <w:r>
              <w:rPr>
                <w:sz w:val="28"/>
                <w:szCs w:val="28"/>
              </w:rPr>
              <w:t>1,85</w:t>
            </w:r>
          </w:p>
        </w:tc>
      </w:tr>
      <w:tr>
        <w:trPr/>
        <w:tc>
          <w:tcPr>
            <w:tcW w:w="10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uppressAutoHyphens w:val="true"/>
              <w:bidi w:val="0"/>
              <w:spacing w:before="0" w:after="0"/>
              <w:ind w:left="0" w:right="0" w:hanging="0"/>
              <w:jc w:val="center"/>
              <w:rPr>
                <w:sz w:val="28"/>
                <w:szCs w:val="28"/>
              </w:rPr>
            </w:pPr>
            <w:r>
              <w:rPr>
                <w:sz w:val="28"/>
                <w:szCs w:val="28"/>
              </w:rPr>
              <w:t>5</w:t>
            </w:r>
          </w:p>
        </w:tc>
        <w:tc>
          <w:tcPr>
            <w:tcW w:w="202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Водитель автобуса особо большого класса</w:t>
            </w:r>
          </w:p>
        </w:tc>
        <w:tc>
          <w:tcPr>
            <w:tcW w:w="42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before="0" w:after="0"/>
              <w:ind w:left="0" w:right="0" w:firstLine="709"/>
              <w:jc w:val="center"/>
              <w:rPr>
                <w:sz w:val="28"/>
                <w:szCs w:val="28"/>
              </w:rPr>
            </w:pPr>
            <w:r>
              <w:rPr>
                <w:sz w:val="28"/>
                <w:szCs w:val="28"/>
              </w:rPr>
              <w:t>1,5</w:t>
            </w:r>
          </w:p>
        </w:tc>
        <w:tc>
          <w:tcPr>
            <w:tcW w:w="24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before="0" w:after="0"/>
              <w:ind w:left="0" w:right="0" w:firstLine="709"/>
              <w:jc w:val="center"/>
              <w:rPr>
                <w:sz w:val="28"/>
                <w:szCs w:val="28"/>
              </w:rPr>
            </w:pPr>
            <w:r>
              <w:rPr>
                <w:sz w:val="28"/>
                <w:szCs w:val="28"/>
              </w:rPr>
              <w:t>1,95</w:t>
            </w:r>
          </w:p>
        </w:tc>
      </w:tr>
      <w:tr>
        <w:trPr/>
        <w:tc>
          <w:tcPr>
            <w:tcW w:w="10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uppressAutoHyphens w:val="true"/>
              <w:bidi w:val="0"/>
              <w:spacing w:before="0" w:after="0"/>
              <w:ind w:left="0" w:right="0" w:hanging="0"/>
              <w:jc w:val="center"/>
              <w:rPr>
                <w:sz w:val="28"/>
                <w:szCs w:val="28"/>
              </w:rPr>
            </w:pPr>
            <w:r>
              <w:rPr>
                <w:sz w:val="28"/>
                <w:szCs w:val="28"/>
              </w:rPr>
              <w:t>6</w:t>
            </w:r>
          </w:p>
        </w:tc>
        <w:tc>
          <w:tcPr>
            <w:tcW w:w="202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Кондуктор</w:t>
            </w:r>
          </w:p>
        </w:tc>
        <w:tc>
          <w:tcPr>
            <w:tcW w:w="42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before="0" w:after="0"/>
              <w:ind w:left="0" w:right="0" w:firstLine="709"/>
              <w:jc w:val="center"/>
              <w:rPr>
                <w:sz w:val="28"/>
                <w:szCs w:val="28"/>
              </w:rPr>
            </w:pPr>
            <w:r>
              <w:rPr>
                <w:sz w:val="28"/>
                <w:szCs w:val="28"/>
              </w:rPr>
              <w:t>0,7</w:t>
            </w:r>
          </w:p>
        </w:tc>
        <w:tc>
          <w:tcPr>
            <w:tcW w:w="24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before="0" w:after="0"/>
              <w:ind w:left="0" w:right="0" w:firstLine="709"/>
              <w:jc w:val="center"/>
              <w:rPr>
                <w:sz w:val="28"/>
                <w:szCs w:val="28"/>
              </w:rPr>
            </w:pPr>
            <w:r>
              <w:rPr>
                <w:sz w:val="28"/>
                <w:szCs w:val="28"/>
              </w:rPr>
              <w:t>0,95</w:t>
            </w:r>
          </w:p>
        </w:tc>
      </w:tr>
      <w:tr>
        <w:trPr/>
        <w:tc>
          <w:tcPr>
            <w:tcW w:w="100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uppressAutoHyphens w:val="true"/>
              <w:bidi w:val="0"/>
              <w:spacing w:before="0" w:after="0"/>
              <w:ind w:left="0" w:right="0" w:hanging="0"/>
              <w:jc w:val="center"/>
              <w:rPr>
                <w:sz w:val="28"/>
                <w:szCs w:val="28"/>
              </w:rPr>
            </w:pPr>
            <w:r>
              <w:rPr>
                <w:sz w:val="28"/>
                <w:szCs w:val="28"/>
              </w:rPr>
              <w:t>7</w:t>
            </w:r>
          </w:p>
        </w:tc>
        <w:tc>
          <w:tcPr>
            <w:tcW w:w="202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Ремонтный рабочий</w:t>
            </w:r>
          </w:p>
        </w:tc>
        <w:tc>
          <w:tcPr>
            <w:tcW w:w="426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before="0" w:after="0"/>
              <w:ind w:left="0" w:right="0" w:firstLine="709"/>
              <w:jc w:val="center"/>
              <w:rPr>
                <w:sz w:val="28"/>
                <w:szCs w:val="28"/>
              </w:rPr>
            </w:pPr>
            <w:r>
              <w:rPr>
                <w:sz w:val="28"/>
                <w:szCs w:val="28"/>
              </w:rPr>
              <w:t>0,8</w:t>
            </w:r>
          </w:p>
        </w:tc>
        <w:tc>
          <w:tcPr>
            <w:tcW w:w="2490"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pacing w:before="0" w:after="0"/>
              <w:ind w:left="0" w:right="0" w:firstLine="709"/>
              <w:jc w:val="center"/>
              <w:rPr>
                <w:sz w:val="28"/>
                <w:szCs w:val="28"/>
              </w:rPr>
            </w:pPr>
            <w:r>
              <w:rPr>
                <w:sz w:val="28"/>
                <w:szCs w:val="28"/>
              </w:rPr>
              <w:t>1</w:t>
            </w:r>
          </w:p>
        </w:tc>
      </w:tr>
    </w:tbl>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bookmarkStart w:id="10" w:name="Par253"/>
      <w:bookmarkEnd w:id="10"/>
      <w:r>
        <w:rPr>
          <w:sz w:val="28"/>
          <w:szCs w:val="28"/>
        </w:rPr>
        <w:t>4. Расходы на оплату труда кондукторов транспортных средств в t-ый год срока действия контракта в расчете на 1 км пробега определяются по формуле (4).</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r>
      <m:oMath xmlns:m="http://schemas.openxmlformats.org/officeDocument/2006/math">
        <m:sSub>
          <m:e>
            <m:r>
              <w:rPr>
                <w:rFonts w:ascii="Cambria Math" w:hAnsi="Cambria Math"/>
              </w:rPr>
              <m:t xml:space="preserve">P</m:t>
            </m:r>
          </m:e>
          <m:sub>
            <m:r>
              <w:rPr>
                <w:rFonts w:ascii="Cambria Math" w:hAnsi="Cambria Math"/>
              </w:rPr>
              <m:t xml:space="preserve">ОТК</m:t>
            </m:r>
            <m:r>
              <w:rPr>
                <w:rFonts w:ascii="Cambria Math" w:hAnsi="Cambria Math"/>
              </w:rPr>
              <m:t xml:space="preserve">ti</m:t>
            </m:r>
          </m:sub>
        </m:sSub>
        <m:r>
          <w:rPr>
            <w:rFonts w:ascii="Cambria Math" w:hAnsi="Cambria Math"/>
          </w:rPr>
          <m:t xml:space="preserve">=</m:t>
        </m:r>
        <m:f>
          <m:num>
            <m:r>
              <w:rPr>
                <w:rFonts w:ascii="Cambria Math" w:hAnsi="Cambria Math"/>
              </w:rPr>
              <m:t xml:space="preserve">12</m:t>
            </m:r>
            <m:r>
              <w:rPr>
                <w:rFonts w:ascii="Cambria Math" w:hAnsi="Cambria Math"/>
              </w:rPr>
              <m:t xml:space="preserve">×</m:t>
            </m:r>
            <m:sSub>
              <m:e>
                <m:r>
                  <w:rPr>
                    <w:rFonts w:ascii="Cambria Math" w:hAnsi="Cambria Math"/>
                  </w:rPr>
                  <m:t xml:space="preserve">ЗПК</m:t>
                </m:r>
              </m:e>
              <m:sub>
                <m:r>
                  <w:rPr>
                    <w:rFonts w:ascii="Cambria Math" w:hAnsi="Cambria Math"/>
                  </w:rPr>
                  <m:t xml:space="preserve">i</m:t>
                </m:r>
              </m:sub>
            </m:sSub>
          </m:num>
          <m:den>
            <m:sSub>
              <m:e>
                <m:r>
                  <w:rPr>
                    <w:rFonts w:ascii="Cambria Math" w:hAnsi="Cambria Math"/>
                  </w:rPr>
                  <m:t xml:space="preserve">ФРВ</m:t>
                </m:r>
              </m:e>
              <m:sub>
                <m:r>
                  <w:rPr>
                    <w:rFonts w:ascii="Cambria Math" w:hAnsi="Cambria Math"/>
                  </w:rPr>
                  <m:t xml:space="preserve">к</m:t>
                </m:r>
              </m:sub>
            </m:sSub>
          </m:den>
        </m:f>
        <m:r>
          <w:rPr>
            <w:rFonts w:ascii="Cambria Math" w:hAnsi="Cambria Math"/>
          </w:rPr>
          <m:t xml:space="preserve">×</m:t>
        </m:r>
        <m:sSub>
          <m:e>
            <m:r>
              <w:rPr>
                <w:rFonts w:ascii="Cambria Math" w:hAnsi="Cambria Math"/>
              </w:rPr>
              <m:t xml:space="preserve">АЧК</m:t>
            </m:r>
          </m:e>
          <m:sub>
            <m:r>
              <w:rPr>
                <w:rFonts w:ascii="Cambria Math" w:hAnsi="Cambria Math"/>
              </w:rPr>
              <m:t xml:space="preserve">ti</m:t>
            </m:r>
          </m:sub>
        </m:sSub>
        <m:r>
          <w:rPr>
            <w:rFonts w:ascii="Cambria Math" w:hAnsi="Cambria Math"/>
          </w:rPr>
          <m:t xml:space="preserve">×</m:t>
        </m:r>
        <m:r>
          <w:rPr>
            <w:rFonts w:ascii="Cambria Math" w:hAnsi="Cambria Math"/>
          </w:rPr>
          <m:t xml:space="preserve">1,06</m:t>
        </m:r>
        <m:r>
          <w:rPr>
            <w:rFonts w:ascii="Cambria Math" w:hAnsi="Cambria Math"/>
          </w:rPr>
          <m:t xml:space="preserve">×</m:t>
        </m:r>
        <m:f>
          <m:fPr>
            <m:type m:val="lin"/>
          </m:fPr>
          <m:num>
            <m:sSub>
              <m:e>
                <m:r>
                  <w:rPr>
                    <w:rFonts w:ascii="Cambria Math" w:hAnsi="Cambria Math"/>
                  </w:rPr>
                  <m:t xml:space="preserve">I</m:t>
                </m:r>
              </m:e>
              <m:sub>
                <m:r>
                  <w:rPr>
                    <w:rFonts w:ascii="Cambria Math" w:hAnsi="Cambria Math"/>
                  </w:rPr>
                  <m:t xml:space="preserve">пц</m:t>
                </m:r>
                <m:r>
                  <w:rPr>
                    <w:rFonts w:ascii="Cambria Math" w:hAnsi="Cambria Math"/>
                  </w:rPr>
                  <m:t xml:space="preserve">t</m:t>
                </m:r>
              </m:sub>
            </m:sSub>
          </m:num>
          <m:den>
            <m:sSub>
              <m:e>
                <m:r>
                  <w:rPr>
                    <w:rFonts w:ascii="Cambria Math" w:hAnsi="Cambria Math"/>
                  </w:rPr>
                  <m:t xml:space="preserve">L</m:t>
                </m:r>
              </m:e>
              <m:sub>
                <m:r>
                  <w:rPr>
                    <w:rFonts w:ascii="Cambria Math" w:hAnsi="Cambria Math"/>
                  </w:rPr>
                  <m:t xml:space="preserve">ti</m:t>
                </m:r>
              </m:sub>
            </m:sSub>
          </m:den>
        </m:f>
      </m:oMath>
      <w:r>
        <w:rPr>
          <w:sz w:val="28"/>
          <w:szCs w:val="28"/>
        </w:rPr>
        <w:t>, руб./км (4)</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sz w:val="28"/>
          <w:szCs w:val="28"/>
        </w:rPr>
        <w:t xml:space="preserve">12 </w:t>
      </w:r>
      <w:r>
        <w:rPr>
          <w:rFonts w:eastAsia="" w:cs="Times New Roman" w:eastAsiaTheme="minorEastAsia"/>
          <w:color w:val="auto"/>
          <w:kern w:val="0"/>
          <w:sz w:val="28"/>
          <w:szCs w:val="28"/>
          <w:lang w:val="ru-RU" w:eastAsia="ru-RU" w:bidi="ar-SA"/>
        </w:rPr>
        <w:t>−</w:t>
      </w:r>
      <w:r>
        <w:rPr>
          <w:sz w:val="28"/>
          <w:szCs w:val="28"/>
        </w:rPr>
        <w:t xml:space="preserve"> количество месяцев в году;</w:t>
      </w:r>
    </w:p>
    <w:p>
      <w:pPr>
        <w:pStyle w:val="ConsPlusNormal"/>
        <w:spacing w:before="0" w:after="0"/>
        <w:ind w:left="0" w:right="0" w:firstLine="709"/>
        <w:jc w:val="both"/>
        <w:rPr/>
      </w:pPr>
      <w:r>
        <w:rPr/>
        <w:drawing>
          <wp:inline distT="0" distB="0" distL="0" distR="0">
            <wp:extent cx="424180" cy="219710"/>
            <wp:effectExtent l="0" t="0" r="0" b="0"/>
            <wp:docPr id="65" name="Рисунок 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Рисунок 71" descr=""/>
                    <pic:cNvPicPr>
                      <a:picLocks noChangeAspect="1" noChangeArrowheads="1"/>
                    </pic:cNvPicPr>
                  </pic:nvPicPr>
                  <pic:blipFill>
                    <a:blip r:embed="rId74"/>
                    <a:stretch>
                      <a:fillRect/>
                    </a:stretch>
                  </pic:blipFill>
                  <pic:spPr bwMode="auto">
                    <a:xfrm>
                      <a:off x="0" y="0"/>
                      <a:ext cx="424180" cy="21971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средняя месячная оплата труда кондуктора (с учетом всех видов премий, надбавок и компенсаций), устанавливаемая на уровне не менее чем определенном в соответствии с заключенным на территории соответствующего субъекта Российской Федерации либо муниципального образования региональным либо территориальным отраслевым соглашением в рамках реализации </w:t>
      </w:r>
      <w:hyperlink r:id="rId75">
        <w:r>
          <w:rPr>
            <w:sz w:val="28"/>
            <w:szCs w:val="28"/>
          </w:rPr>
          <w:t>статей 45</w:t>
        </w:r>
      </w:hyperlink>
      <w:r>
        <w:rPr>
          <w:sz w:val="28"/>
          <w:szCs w:val="28"/>
        </w:rPr>
        <w:t xml:space="preserve"> и </w:t>
      </w:r>
      <w:hyperlink r:id="rId76">
        <w:r>
          <w:rPr>
            <w:sz w:val="28"/>
            <w:szCs w:val="28"/>
          </w:rPr>
          <w:t>48</w:t>
        </w:r>
      </w:hyperlink>
      <w:r>
        <w:rPr>
          <w:sz w:val="28"/>
          <w:szCs w:val="28"/>
        </w:rPr>
        <w:t xml:space="preserve"> Трудового кодекса Российской Федерации, при отсутствии таких соглашений – на уровне не менее, чем определенном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 либо, при отсутствии такого заключенного соглашения - определенном в соответствии с пунктом 5 настоящего приложения, руб.;</w:t>
      </w:r>
    </w:p>
    <w:p>
      <w:pPr>
        <w:pStyle w:val="ConsPlusNormal"/>
        <w:spacing w:before="0" w:after="0"/>
        <w:ind w:left="0" w:right="0" w:firstLine="709"/>
        <w:jc w:val="both"/>
        <w:rPr/>
      </w:pPr>
      <w:r>
        <w:rPr/>
        <w:drawing>
          <wp:inline distT="0" distB="0" distL="0" distR="0">
            <wp:extent cx="504825" cy="278130"/>
            <wp:effectExtent l="0" t="0" r="0" b="0"/>
            <wp:docPr id="66" name="Рисунок 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Рисунок 72" descr=""/>
                    <pic:cNvPicPr>
                      <a:picLocks noChangeAspect="1" noChangeArrowheads="1"/>
                    </pic:cNvPicPr>
                  </pic:nvPicPr>
                  <pic:blipFill>
                    <a:blip r:embed="rId77"/>
                    <a:stretch>
                      <a:fillRect/>
                    </a:stretch>
                  </pic:blipFill>
                  <pic:spPr bwMode="auto">
                    <a:xfrm>
                      <a:off x="0" y="0"/>
                      <a:ext cx="50482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планируемое количество часов работы автобусов i-го класса с кондукторами в t-ом году срока действия контракта (может определяться в соответствии с временем пробега по маршруту и частотой движения по периодам суток и дням недели, установленными Документом планирования регулярных перевозок для каждого из маршрутов, с учетом изменений планового времени пробега в период действия контракта при вводе выделенных полос транспорта общего пользования, иных мер по созданию приоритетных условий движения транспорта общего пользования), час.;</w:t>
      </w:r>
    </w:p>
    <w:p>
      <w:pPr>
        <w:pStyle w:val="ConsPlusNormal"/>
        <w:spacing w:before="0" w:after="0"/>
        <w:ind w:left="0" w:right="0" w:firstLine="709"/>
        <w:jc w:val="both"/>
        <w:rPr/>
      </w:pPr>
      <w:r>
        <w:rPr>
          <w:sz w:val="28"/>
          <w:szCs w:val="28"/>
        </w:rPr>
        <w:t xml:space="preserve">1,06 </w:t>
      </w:r>
      <w:r>
        <w:rPr>
          <w:rFonts w:eastAsia="" w:cs="Times New Roman" w:eastAsiaTheme="minorEastAsia"/>
          <w:color w:val="auto"/>
          <w:kern w:val="0"/>
          <w:sz w:val="28"/>
          <w:szCs w:val="28"/>
          <w:lang w:val="ru-RU" w:eastAsia="ru-RU" w:bidi="ar-SA"/>
        </w:rPr>
        <w:t>−</w:t>
      </w:r>
      <w:r>
        <w:rPr>
          <w:sz w:val="28"/>
          <w:szCs w:val="28"/>
        </w:rPr>
        <w:t xml:space="preserve"> коэффициент, характеризующий продолжительность подготовительно-заключительного времени;</w:t>
      </w:r>
    </w:p>
    <w:p>
      <w:pPr>
        <w:pStyle w:val="ConsPlusNormal"/>
        <w:spacing w:before="0" w:after="0"/>
        <w:ind w:left="0" w:right="0" w:firstLine="709"/>
        <w:jc w:val="both"/>
        <w:rPr/>
      </w:pPr>
      <w:r>
        <w:rPr/>
        <w:drawing>
          <wp:inline distT="0" distB="0" distL="0" distR="0">
            <wp:extent cx="278130" cy="285115"/>
            <wp:effectExtent l="0" t="0" r="0" b="0"/>
            <wp:docPr id="67" name="Рисунок 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Рисунок 73" descr=""/>
                    <pic:cNvPicPr>
                      <a:picLocks noChangeAspect="1" noChangeArrowheads="1"/>
                    </pic:cNvPicPr>
                  </pic:nvPicPr>
                  <pic:blipFill>
                    <a:blip r:embed="rId78"/>
                    <a:stretch>
                      <a:fillRect/>
                    </a:stretch>
                  </pic:blipFill>
                  <pic:spPr bwMode="auto">
                    <a:xfrm>
                      <a:off x="0" y="0"/>
                      <a:ext cx="278130"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индекс потребительских цен для t-ого года срока действия контракта, принимаемый в соответствии с публикуемыми Минэкономразвития России прогнозами социально-экономического развития Российской Федерации (если срок действия контракта превышает срок прогноза, индекс потребительских цен для каждого года срока действия контракта, не указанного в прогнозе, принимается равным индексу потребительских цен, указанному для последнего года прогноза);</w:t>
      </w:r>
    </w:p>
    <w:p>
      <w:pPr>
        <w:pStyle w:val="ConsPlusNormal"/>
        <w:spacing w:before="0" w:after="0"/>
        <w:ind w:left="0" w:right="0" w:firstLine="709"/>
        <w:jc w:val="both"/>
        <w:rPr/>
      </w:pPr>
      <w:r>
        <w:rPr/>
        <w:drawing>
          <wp:inline distT="0" distB="0" distL="0" distR="0">
            <wp:extent cx="219710" cy="278130"/>
            <wp:effectExtent l="0" t="0" r="0" b="0"/>
            <wp:docPr id="68" name="Рисунок 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Рисунок 74" descr=""/>
                    <pic:cNvPicPr>
                      <a:picLocks noChangeAspect="1" noChangeArrowheads="1"/>
                    </pic:cNvPicPr>
                  </pic:nvPicPr>
                  <pic:blipFill>
                    <a:blip r:embed="rId79"/>
                    <a:stretch>
                      <a:fillRect/>
                    </a:stretch>
                  </pic:blipFill>
                  <pic:spPr bwMode="auto">
                    <a:xfrm>
                      <a:off x="0" y="0"/>
                      <a:ext cx="21971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предусмотренный контрактом планируемый пробег транспортных средств i-го класса в t-ом году срока действия контракта (может определяться в соответствии с длиной рейсов и частотой движения по периодам суток и дням недели, установленными Документом планирования регулярных перевозок для каждого из маршрутов, с учетом планируемых изменений трасс и параметров движения в период исполнения контракта), км;</w:t>
      </w:r>
    </w:p>
    <w:p>
      <w:pPr>
        <w:pStyle w:val="ConsPlusNormal"/>
        <w:spacing w:before="0" w:after="0"/>
        <w:ind w:left="0" w:right="0" w:firstLine="709"/>
        <w:jc w:val="both"/>
        <w:rPr/>
      </w:pPr>
      <w:r>
        <w:rPr/>
        <w:drawing>
          <wp:inline distT="0" distB="0" distL="0" distR="0">
            <wp:extent cx="475615" cy="278130"/>
            <wp:effectExtent l="0" t="0" r="0" b="0"/>
            <wp:docPr id="69" name="Рисунок 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Рисунок 75" descr=""/>
                    <pic:cNvPicPr>
                      <a:picLocks noChangeAspect="1" noChangeArrowheads="1"/>
                    </pic:cNvPicPr>
                  </pic:nvPicPr>
                  <pic:blipFill>
                    <a:blip r:embed="rId80"/>
                    <a:stretch>
                      <a:fillRect/>
                    </a:stretch>
                  </pic:blipFill>
                  <pic:spPr bwMode="auto">
                    <a:xfrm>
                      <a:off x="0" y="0"/>
                      <a:ext cx="47561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годовой фонд рабочего времени кондуктора при соблюдении нормальной, 40-часовой продолжительности рабочего времени в неделю, с учетом ежегодного отпуска 28 календарных дней и обязательного дополнительно предоставляемого водителям отпуска 7 календарных дней (принимается равным 1772 часа).</w:t>
      </w:r>
    </w:p>
    <w:p>
      <w:pPr>
        <w:pStyle w:val="ConsPlusNormal"/>
        <w:spacing w:before="0" w:after="0"/>
        <w:ind w:left="0" w:right="0" w:firstLine="709"/>
        <w:jc w:val="both"/>
        <w:rPr/>
      </w:pPr>
      <w:bookmarkStart w:id="11" w:name="Par266"/>
      <w:bookmarkEnd w:id="11"/>
      <w:r>
        <w:rPr>
          <w:sz w:val="28"/>
          <w:szCs w:val="28"/>
        </w:rPr>
        <w:t xml:space="preserve">5. При отсутствии на территории соответствующего субъекта Российской Федерации либо муниципального образования регионального либо территориального отраслевого соглашения, заключенного в рамках реализации </w:t>
      </w:r>
      <w:hyperlink r:id="rId81">
        <w:r>
          <w:rPr>
            <w:sz w:val="28"/>
            <w:szCs w:val="28"/>
          </w:rPr>
          <w:t>статей 45</w:t>
        </w:r>
      </w:hyperlink>
      <w:r>
        <w:rPr>
          <w:sz w:val="28"/>
          <w:szCs w:val="28"/>
        </w:rPr>
        <w:t xml:space="preserve"> и </w:t>
      </w:r>
      <w:hyperlink r:id="rId82">
        <w:r>
          <w:rPr>
            <w:sz w:val="28"/>
            <w:szCs w:val="28"/>
          </w:rPr>
          <w:t>48</w:t>
        </w:r>
      </w:hyperlink>
      <w:r>
        <w:rPr>
          <w:sz w:val="28"/>
          <w:szCs w:val="28"/>
        </w:rPr>
        <w:t xml:space="preserve"> Трудового кодекса Российской Федерации и Федерального отраслевого </w:t>
      </w:r>
      <w:hyperlink r:id="rId83">
        <w:r>
          <w:rPr>
            <w:sz w:val="28"/>
            <w:szCs w:val="28"/>
          </w:rPr>
          <w:t>соглашения</w:t>
        </w:r>
      </w:hyperlink>
      <w:r>
        <w:rPr>
          <w:sz w:val="28"/>
          <w:szCs w:val="28"/>
        </w:rPr>
        <w:t xml:space="preserve"> по автомобильному и городскому наземному пассажирскому транспорту или Отраслевого </w:t>
      </w:r>
      <w:hyperlink r:id="rId84">
        <w:r>
          <w:rPr>
            <w:sz w:val="28"/>
            <w:szCs w:val="28"/>
          </w:rPr>
          <w:t>соглашения</w:t>
        </w:r>
      </w:hyperlink>
      <w:r>
        <w:rPr>
          <w:sz w:val="28"/>
          <w:szCs w:val="28"/>
        </w:rPr>
        <w:t xml:space="preserve"> по организациям наземного городского электрического транспорта Российской Федерации, средняя месячная оплата труда кондуктора (с учетом всех видов премий, надбавок и компенсаций) выбирается наибольшая из определенной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 либо определяется по формуле (5).</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2728595" cy="278130"/>
            <wp:effectExtent l="0" t="0" r="0" b="0"/>
            <wp:docPr id="70" name="Рисунок 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Рисунок 76" descr=""/>
                    <pic:cNvPicPr>
                      <a:picLocks noChangeAspect="1" noChangeArrowheads="1"/>
                    </pic:cNvPicPr>
                  </pic:nvPicPr>
                  <pic:blipFill>
                    <a:blip r:embed="rId85"/>
                    <a:stretch>
                      <a:fillRect/>
                    </a:stretch>
                  </pic:blipFill>
                  <pic:spPr bwMode="auto">
                    <a:xfrm>
                      <a:off x="0" y="0"/>
                      <a:ext cx="2728595" cy="278130"/>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409575" cy="219710"/>
            <wp:effectExtent l="0" t="0" r="0" b="0"/>
            <wp:docPr id="71" name="Рисунок 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Рисунок 77" descr=""/>
                    <pic:cNvPicPr>
                      <a:picLocks noChangeAspect="1" noChangeArrowheads="1"/>
                    </pic:cNvPicPr>
                  </pic:nvPicPr>
                  <pic:blipFill>
                    <a:blip r:embed="rId86"/>
                    <a:stretch>
                      <a:fillRect/>
                    </a:stretch>
                  </pic:blipFill>
                  <pic:spPr bwMode="auto">
                    <a:xfrm>
                      <a:off x="0" y="0"/>
                      <a:ext cx="409575" cy="21971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(для муниципальных маршрутов в границах поселения,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административно-территориальных единиц субъекта Российской Федерации, для муниципальных маршрутов в границах субъектов Российской Федерации - городов федерального значения Москвы, Санкт-Петербурга или Севастополя в соответствии с данными Росстата в отношении указанных субъектов Российской Федерации, для межмуниципальных маршрутов в границах субъекта Российской Федерации - в соответствии с данными Росстата в отношении этого субъекта Российской Федерации, для смежных межрегиональных маршрутов в сообщении с субъектами Российской Федерации - городами федерального значения Москвой, Санкт-Петербургом или Севастополем - в соответствии с данными Росстата в отношении этих субъектов Российской Федерации), руб.;</w:t>
      </w:r>
    </w:p>
    <w:p>
      <w:pPr>
        <w:pStyle w:val="ConsPlusNormal"/>
        <w:spacing w:before="0" w:after="0"/>
        <w:ind w:left="0" w:right="0" w:firstLine="709"/>
        <w:jc w:val="both"/>
        <w:rPr/>
      </w:pPr>
      <w:r>
        <w:rPr/>
        <w:drawing>
          <wp:inline distT="0" distB="0" distL="0" distR="0">
            <wp:extent cx="336550" cy="278130"/>
            <wp:effectExtent l="0" t="0" r="0" b="0"/>
            <wp:docPr id="72" name="Рисунок 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Рисунок 78" descr=""/>
                    <pic:cNvPicPr>
                      <a:picLocks noChangeAspect="1" noChangeArrowheads="1"/>
                    </pic:cNvPicPr>
                  </pic:nvPicPr>
                  <pic:blipFill>
                    <a:blip r:embed="rId87"/>
                    <a:stretch>
                      <a:fillRect/>
                    </a:stretch>
                  </pic:blipFill>
                  <pic:spPr bwMode="auto">
                    <a:xfrm>
                      <a:off x="0" y="0"/>
                      <a:ext cx="33655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коэффициент, учитывающий дифференциацию в оплате труда кондукторов транспортных средств в зависимости от вида маршрутов (принимается в соответствии с </w:t>
      </w:r>
      <w:hyperlink w:anchor="Par198" w:tgtFrame="Коэффициенты, учитывающие дифференциацию заработных плат">
        <w:r>
          <w:rPr>
            <w:sz w:val="28"/>
            <w:szCs w:val="28"/>
          </w:rPr>
          <w:t>таблицей 1</w:t>
        </w:r>
      </w:hyperlink>
      <w:r>
        <w:rPr>
          <w:sz w:val="28"/>
          <w:szCs w:val="28"/>
        </w:rPr>
        <w:t>);</w:t>
      </w:r>
    </w:p>
    <w:p>
      <w:pPr>
        <w:pStyle w:val="ConsPlusNormal"/>
        <w:spacing w:before="0" w:after="0"/>
        <w:ind w:left="0" w:right="0" w:firstLine="709"/>
        <w:jc w:val="both"/>
        <w:rPr/>
      </w:pPr>
      <w:r>
        <w:rPr/>
        <w:drawing>
          <wp:inline distT="0" distB="0" distL="0" distR="0">
            <wp:extent cx="314325" cy="278130"/>
            <wp:effectExtent l="0" t="0" r="0" b="0"/>
            <wp:docPr id="73" name="Рисунок 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Рисунок 79" descr=""/>
                    <pic:cNvPicPr>
                      <a:picLocks noChangeAspect="1" noChangeArrowheads="1"/>
                    </pic:cNvPicPr>
                  </pic:nvPicPr>
                  <pic:blipFill>
                    <a:blip r:embed="rId88"/>
                    <a:stretch>
                      <a:fillRect/>
                    </a:stretch>
                  </pic:blipFill>
                  <pic:spPr bwMode="auto">
                    <a:xfrm>
                      <a:off x="0" y="0"/>
                      <a:ext cx="31432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коэффициент, учитывающий особенности рынка труда в городах</w:t>
        <w:br/>
        <w:t xml:space="preserve">с численностью населения свыше миллиона человек (для г. Москвы принимается равным не менее 0,45, для г. Санкт-Петербурга </w:t>
      </w:r>
      <w:r>
        <w:rPr>
          <w:rFonts w:eastAsia="" w:cs="Times New Roman" w:eastAsiaTheme="minorEastAsia"/>
          <w:color w:val="auto"/>
          <w:kern w:val="0"/>
          <w:sz w:val="28"/>
          <w:szCs w:val="28"/>
          <w:lang w:val="ru-RU" w:eastAsia="ru-RU" w:bidi="ar-SA"/>
        </w:rPr>
        <w:t>−</w:t>
      </w:r>
      <w:r>
        <w:rPr>
          <w:sz w:val="28"/>
          <w:szCs w:val="28"/>
        </w:rPr>
        <w:t xml:space="preserve"> не менее 0,7, для других городов</w:t>
        <w:br/>
        <w:t xml:space="preserve">с численностью населения свыше миллиона человек </w:t>
      </w:r>
      <w:r>
        <w:rPr>
          <w:rFonts w:eastAsia="" w:cs="Times New Roman" w:eastAsiaTheme="minorEastAsia"/>
          <w:color w:val="auto"/>
          <w:kern w:val="0"/>
          <w:sz w:val="28"/>
          <w:szCs w:val="28"/>
          <w:lang w:val="ru-RU" w:eastAsia="ru-RU" w:bidi="ar-SA"/>
        </w:rPr>
        <w:t>−</w:t>
      </w:r>
      <w:r>
        <w:rPr>
          <w:sz w:val="28"/>
          <w:szCs w:val="28"/>
        </w:rPr>
        <w:t xml:space="preserve"> не менее 0,8, для прочих муниципальных образований </w:t>
      </w:r>
      <w:r>
        <w:rPr>
          <w:rFonts w:eastAsia="" w:cs="Times New Roman" w:eastAsiaTheme="minorEastAsia"/>
          <w:color w:val="auto"/>
          <w:kern w:val="0"/>
          <w:sz w:val="28"/>
          <w:szCs w:val="28"/>
          <w:lang w:val="ru-RU" w:eastAsia="ru-RU" w:bidi="ar-SA"/>
        </w:rPr>
        <w:t>−</w:t>
      </w:r>
      <w:r>
        <w:rPr>
          <w:sz w:val="28"/>
          <w:szCs w:val="28"/>
        </w:rPr>
        <w:t xml:space="preserve"> 1,0).</w:t>
      </w:r>
    </w:p>
    <w:p>
      <w:pPr>
        <w:pStyle w:val="ConsPlusNormal"/>
        <w:spacing w:before="0" w:after="0"/>
        <w:ind w:left="0" w:right="0" w:firstLine="709"/>
        <w:jc w:val="both"/>
        <w:rPr/>
      </w:pPr>
      <w:bookmarkStart w:id="12" w:name="Par274"/>
      <w:bookmarkEnd w:id="12"/>
      <w:r>
        <w:rPr>
          <w:sz w:val="28"/>
          <w:szCs w:val="28"/>
        </w:rPr>
        <w:t>6. Отчисления на социальные нужды от оплаты труда водителей</w:t>
        <w:br/>
        <w:t>и кондукторов транспортных средств i-го класса в t-ый год срока действия контракта в расчете на 1 км пробега (</w:t>
      </w:r>
      <w:r>
        <w:rPr>
          <w:sz w:val="28"/>
          <w:szCs w:val="28"/>
          <w:lang w:val="en-US"/>
        </w:rPr>
        <w:t>CP</w:t>
      </w:r>
      <w:r>
        <w:rPr>
          <w:sz w:val="28"/>
          <w:szCs w:val="28"/>
          <w:vertAlign w:val="subscript"/>
          <w:lang w:val="en-US"/>
        </w:rPr>
        <w:t>ti</w:t>
      </w:r>
      <w:r>
        <w:rPr>
          <w:sz w:val="28"/>
          <w:szCs w:val="28"/>
        </w:rPr>
        <w:t>) определяются по формуле (6).</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3576955" cy="278130"/>
            <wp:effectExtent l="0" t="0" r="0" b="0"/>
            <wp:docPr id="74" name="Рисунок 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Рисунок 81" descr=""/>
                    <pic:cNvPicPr>
                      <a:picLocks noChangeAspect="1" noChangeArrowheads="1"/>
                    </pic:cNvPicPr>
                  </pic:nvPicPr>
                  <pic:blipFill>
                    <a:blip r:embed="rId89"/>
                    <a:stretch>
                      <a:fillRect/>
                    </a:stretch>
                  </pic:blipFill>
                  <pic:spPr bwMode="auto">
                    <a:xfrm>
                      <a:off x="0" y="0"/>
                      <a:ext cx="3576955" cy="278130"/>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409575" cy="278130"/>
            <wp:effectExtent l="0" t="0" r="0" b="0"/>
            <wp:docPr id="75" name="Рисунок 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Рисунок 82" descr=""/>
                    <pic:cNvPicPr>
                      <a:picLocks noChangeAspect="1" noChangeArrowheads="1"/>
                    </pic:cNvPicPr>
                  </pic:nvPicPr>
                  <pic:blipFill>
                    <a:blip r:embed="rId90"/>
                    <a:stretch>
                      <a:fillRect/>
                    </a:stretch>
                  </pic:blipFill>
                  <pic:spPr bwMode="auto">
                    <a:xfrm>
                      <a:off x="0" y="0"/>
                      <a:ext cx="40957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расходы на оплату труда водителей транспортных средств i-го класса</w:t>
        <w:br/>
        <w:t>в t-ый год срока действия контракта в расчете на 1 км пробега, руб.;</w:t>
      </w:r>
    </w:p>
    <w:p>
      <w:pPr>
        <w:pStyle w:val="ConsPlusNormal"/>
        <w:spacing w:before="0" w:after="0"/>
        <w:ind w:left="0" w:right="0" w:firstLine="709"/>
        <w:jc w:val="both"/>
        <w:rPr/>
      </w:pPr>
      <w:r>
        <w:rPr/>
        <w:drawing>
          <wp:inline distT="0" distB="0" distL="0" distR="0">
            <wp:extent cx="380365" cy="278130"/>
            <wp:effectExtent l="0" t="0" r="0" b="0"/>
            <wp:docPr id="76" name="Рисунок 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Рисунок 83" descr=""/>
                    <pic:cNvPicPr>
                      <a:picLocks noChangeAspect="1" noChangeArrowheads="1"/>
                    </pic:cNvPicPr>
                  </pic:nvPicPr>
                  <pic:blipFill>
                    <a:blip r:embed="rId91"/>
                    <a:stretch>
                      <a:fillRect/>
                    </a:stretch>
                  </pic:blipFill>
                  <pic:spPr bwMode="auto">
                    <a:xfrm>
                      <a:off x="0" y="0"/>
                      <a:ext cx="38036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расходы на оплату труда кондукторов транспортных средств в t-ый год срока действия контракта в расчете на 1 км пробега, руб.;</w:t>
      </w:r>
    </w:p>
    <w:p>
      <w:pPr>
        <w:pStyle w:val="ConsPlusNormal"/>
        <w:spacing w:before="0" w:after="0"/>
        <w:ind w:left="0" w:right="0" w:firstLine="709"/>
        <w:jc w:val="both"/>
        <w:rPr/>
      </w:pPr>
      <w:r>
        <w:rPr/>
        <w:drawing>
          <wp:inline distT="0" distB="0" distL="0" distR="0">
            <wp:extent cx="314325" cy="278130"/>
            <wp:effectExtent l="0" t="0" r="0" b="0"/>
            <wp:docPr id="77" name="Рисунок 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Рисунок 84" descr=""/>
                    <pic:cNvPicPr>
                      <a:picLocks noChangeAspect="1" noChangeArrowheads="1"/>
                    </pic:cNvPicPr>
                  </pic:nvPicPr>
                  <pic:blipFill>
                    <a:blip r:embed="rId92"/>
                    <a:stretch>
                      <a:fillRect/>
                    </a:stretch>
                  </pic:blipFill>
                  <pic:spPr bwMode="auto">
                    <a:xfrm>
                      <a:off x="0" y="0"/>
                      <a:ext cx="31432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суммарный тариф отчислений на социальные нужды и обязательное социальное страхование от несчастных случаев на производстве</w:t>
        <w:br/>
        <w:t>и профессиональных заболеваний от расходов на оплату труда, определяемый</w:t>
        <w:br/>
        <w:t>в соответствии с законодательством Российской Федерации, %.</w:t>
      </w:r>
    </w:p>
    <w:p>
      <w:pPr>
        <w:pStyle w:val="ConsPlusNormal"/>
        <w:spacing w:before="0" w:after="0"/>
        <w:ind w:left="0" w:right="0" w:firstLine="709"/>
        <w:jc w:val="both"/>
        <w:rPr/>
      </w:pPr>
      <w:bookmarkStart w:id="13" w:name="Par282"/>
      <w:bookmarkEnd w:id="13"/>
      <w:r>
        <w:rPr>
          <w:sz w:val="28"/>
          <w:szCs w:val="28"/>
        </w:rPr>
        <w:t>7. Расходы на топливо для транспортных средств i-го класса в t-ый год срока действия контракта в расчете на 1 км пробега (</w:t>
      </w:r>
      <w:r>
        <w:rPr/>
        <w:drawing>
          <wp:inline distT="0" distB="0" distL="0" distR="0">
            <wp:extent cx="285115" cy="278130"/>
            <wp:effectExtent l="0" t="0" r="0" b="0"/>
            <wp:docPr id="78" name="Рисунок 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Рисунок 85" descr=""/>
                    <pic:cNvPicPr>
                      <a:picLocks noChangeAspect="1" noChangeArrowheads="1"/>
                    </pic:cNvPicPr>
                  </pic:nvPicPr>
                  <pic:blipFill>
                    <a:blip r:embed="rId51"/>
                    <a:stretch>
                      <a:fillRect/>
                    </a:stretch>
                  </pic:blipFill>
                  <pic:spPr bwMode="auto">
                    <a:xfrm>
                      <a:off x="0" y="0"/>
                      <a:ext cx="285115" cy="278130"/>
                    </a:xfrm>
                    <a:prstGeom prst="rect">
                      <a:avLst/>
                    </a:prstGeom>
                  </pic:spPr>
                </pic:pic>
              </a:graphicData>
            </a:graphic>
          </wp:inline>
        </w:drawing>
      </w:r>
      <w:r>
        <w:rPr>
          <w:sz w:val="28"/>
          <w:szCs w:val="28"/>
        </w:rPr>
        <w:t>) определяются по формуле (7).</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rPr/>
      </w:pPr>
      <w:r>
        <w:rPr/>
        <w:drawing>
          <wp:inline distT="0" distB="0" distL="0" distR="0">
            <wp:extent cx="5927725" cy="285115"/>
            <wp:effectExtent l="0" t="0" r="0" b="0"/>
            <wp:docPr id="79" name="Рисунок 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Рисунок 86" descr=""/>
                    <pic:cNvPicPr>
                      <a:picLocks noChangeAspect="1" noChangeArrowheads="1"/>
                    </pic:cNvPicPr>
                  </pic:nvPicPr>
                  <pic:blipFill>
                    <a:blip r:embed="rId93"/>
                    <a:stretch>
                      <a:fillRect/>
                    </a:stretch>
                  </pic:blipFill>
                  <pic:spPr bwMode="auto">
                    <a:xfrm>
                      <a:off x="0" y="0"/>
                      <a:ext cx="5927725" cy="285115"/>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285115" cy="278130"/>
            <wp:effectExtent l="0" t="0" r="0" b="0"/>
            <wp:docPr id="80" name="Рисунок 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Рисунок 87" descr=""/>
                    <pic:cNvPicPr>
                      <a:picLocks noChangeAspect="1" noChangeArrowheads="1"/>
                    </pic:cNvPicPr>
                  </pic:nvPicPr>
                  <pic:blipFill>
                    <a:blip r:embed="rId94"/>
                    <a:stretch>
                      <a:fillRect/>
                    </a:stretch>
                  </pic:blipFill>
                  <pic:spPr bwMode="auto">
                    <a:xfrm>
                      <a:off x="0" y="0"/>
                      <a:ext cx="28511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цена 1 литра топлива, указанная в последней, предшествующей дате расчета НМЦК, официальной публикации территориального органа Росстата, либо полученная на основании официального запроса в территориальный орган Росстата, руб.</w:t>
      </w:r>
    </w:p>
    <w:p>
      <w:pPr>
        <w:pStyle w:val="ConsPlusNormal"/>
        <w:spacing w:before="0" w:after="0"/>
        <w:ind w:left="0" w:right="0" w:firstLine="709"/>
        <w:jc w:val="both"/>
        <w:rPr/>
      </w:pPr>
      <w:r>
        <w:rPr>
          <w:sz w:val="28"/>
          <w:szCs w:val="28"/>
        </w:rPr>
        <w:t xml:space="preserve">Цену, а также вид и марку топлива принимают в соответствии с видом и маркой топлива, исходя из класса и вместимости автобуса, указанным в </w:t>
      </w:r>
      <w:hyperlink w:anchor="Par308" w:tgtFrame="Транспортная норма расхода топлива на пробег">
        <w:r>
          <w:rPr>
            <w:sz w:val="28"/>
            <w:szCs w:val="28"/>
          </w:rPr>
          <w:t>таблице 1.1</w:t>
        </w:r>
      </w:hyperlink>
      <w:r>
        <w:rPr>
          <w:sz w:val="28"/>
          <w:szCs w:val="28"/>
        </w:rPr>
        <w:t>, независимо от фактически применяемого вида и марки топлива за следующими исключениями:</w:t>
      </w:r>
    </w:p>
    <w:p>
      <w:pPr>
        <w:pStyle w:val="ConsPlusNormal"/>
        <w:spacing w:before="0" w:after="0"/>
        <w:ind w:left="0" w:right="0" w:firstLine="709"/>
        <w:jc w:val="both"/>
        <w:rPr/>
      </w:pPr>
      <w:r>
        <w:rPr>
          <w:sz w:val="28"/>
          <w:szCs w:val="28"/>
        </w:rPr>
        <w:t xml:space="preserve">1) В случае, если конкурсной документацией устанавливается требование использования автобусов, работающих на газовом топливе, при расчете используют цену газового топлива. При этом, транспортную норму расхода топлива </w:t>
      </w:r>
      <w:r>
        <w:rPr/>
        <w:drawing>
          <wp:inline distT="0" distB="0" distL="0" distR="0">
            <wp:extent cx="307340" cy="285115"/>
            <wp:effectExtent l="0" t="0" r="0" b="0"/>
            <wp:docPr id="81" name="Рисунок 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Рисунок 88" descr=""/>
                    <pic:cNvPicPr>
                      <a:picLocks noChangeAspect="1" noChangeArrowheads="1"/>
                    </pic:cNvPicPr>
                  </pic:nvPicPr>
                  <pic:blipFill>
                    <a:blip r:embed="rId95"/>
                    <a:stretch>
                      <a:fillRect/>
                    </a:stretch>
                  </pic:blipFill>
                  <pic:spPr bwMode="auto">
                    <a:xfrm>
                      <a:off x="0" y="0"/>
                      <a:ext cx="307340" cy="285115"/>
                    </a:xfrm>
                    <a:prstGeom prst="rect">
                      <a:avLst/>
                    </a:prstGeom>
                  </pic:spPr>
                </pic:pic>
              </a:graphicData>
            </a:graphic>
          </wp:inline>
        </w:drawing>
      </w:r>
      <w:r>
        <w:rPr>
          <w:sz w:val="28"/>
          <w:szCs w:val="28"/>
        </w:rPr>
        <w:t>, корректируют с учетом следующих положений:</w:t>
      </w:r>
    </w:p>
    <w:p>
      <w:pPr>
        <w:pStyle w:val="ConsPlusNormal"/>
        <w:spacing w:before="0" w:after="0"/>
        <w:ind w:left="0" w:right="0" w:firstLine="709"/>
        <w:jc w:val="both"/>
        <w:rPr/>
      </w:pPr>
      <w:r>
        <w:rPr>
          <w:sz w:val="28"/>
          <w:szCs w:val="28"/>
        </w:rPr>
        <w:t>для сжиженного углеводородного газа (СУГ) 1 л бензина АИ-92 соответствует 1,22 л газа;</w:t>
      </w:r>
    </w:p>
    <w:p>
      <w:pPr>
        <w:pStyle w:val="ConsPlusNormal"/>
        <w:spacing w:before="0" w:after="0"/>
        <w:ind w:left="0" w:right="0" w:firstLine="709"/>
        <w:jc w:val="both"/>
        <w:rPr/>
      </w:pPr>
      <w:r>
        <w:rPr>
          <w:sz w:val="28"/>
          <w:szCs w:val="28"/>
        </w:rPr>
        <w:t>для компримированного природного газа (КПГ) 1 л бензина АИ-92 соответствует 1,0 м</w:t>
      </w:r>
      <w:r>
        <w:rPr>
          <w:sz w:val="28"/>
          <w:szCs w:val="28"/>
          <w:vertAlign w:val="superscript"/>
        </w:rPr>
        <w:t>3</w:t>
      </w:r>
      <w:r>
        <w:rPr>
          <w:sz w:val="28"/>
          <w:szCs w:val="28"/>
        </w:rPr>
        <w:t xml:space="preserve"> газа.</w:t>
      </w:r>
    </w:p>
    <w:p>
      <w:pPr>
        <w:pStyle w:val="ConsPlusNormal"/>
        <w:spacing w:before="0" w:after="0"/>
        <w:ind w:left="0" w:right="0" w:firstLine="709"/>
        <w:jc w:val="both"/>
        <w:rPr/>
      </w:pPr>
      <w:r>
        <w:rPr>
          <w:sz w:val="28"/>
          <w:szCs w:val="28"/>
        </w:rPr>
        <w:t>2) Для автобусов малого класса расчет производится применительно к бензину АИ-92, за исключением случаев, если конкурсной документацией устанавливается требование использования автобусов, работающих на дизельном топливе, либо на газовом топливе;</w:t>
      </w:r>
    </w:p>
    <w:p>
      <w:pPr>
        <w:pStyle w:val="ConsPlusNormal"/>
        <w:spacing w:before="0" w:after="0"/>
        <w:ind w:left="0" w:right="0" w:firstLine="709"/>
        <w:jc w:val="both"/>
        <w:rPr/>
      </w:pPr>
      <w:r>
        <w:rPr/>
        <w:drawing>
          <wp:inline distT="0" distB="0" distL="0" distR="0">
            <wp:extent cx="307340" cy="285115"/>
            <wp:effectExtent l="0" t="0" r="0" b="0"/>
            <wp:docPr id="82" name="Рисунок 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Рисунок 89" descr=""/>
                    <pic:cNvPicPr>
                      <a:picLocks noChangeAspect="1" noChangeArrowheads="1"/>
                    </pic:cNvPicPr>
                  </pic:nvPicPr>
                  <pic:blipFill>
                    <a:blip r:embed="rId95"/>
                    <a:stretch>
                      <a:fillRect/>
                    </a:stretch>
                  </pic:blipFill>
                  <pic:spPr bwMode="auto">
                    <a:xfrm>
                      <a:off x="0" y="0"/>
                      <a:ext cx="307340"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транспортная норма расхода топлива на пробег автобуса i-го класса в расчете на 100 км, л/100 км; принимается равной не менее указанной в </w:t>
      </w:r>
      <w:hyperlink w:anchor="Par308" w:tgtFrame="Транспортная норма расхода топлива на пробег">
        <w:r>
          <w:rPr>
            <w:sz w:val="28"/>
            <w:szCs w:val="28"/>
          </w:rPr>
          <w:t>таблице 1.1</w:t>
        </w:r>
      </w:hyperlink>
      <w:r>
        <w:rPr>
          <w:sz w:val="28"/>
          <w:szCs w:val="28"/>
        </w:rPr>
        <w:t>;</w:t>
      </w:r>
    </w:p>
    <w:p>
      <w:pPr>
        <w:pStyle w:val="ConsPlusNormal"/>
        <w:spacing w:before="0" w:after="0"/>
        <w:ind w:left="0" w:right="0" w:firstLine="709"/>
        <w:jc w:val="both"/>
        <w:rPr/>
      </w:pPr>
      <w:r>
        <w:rPr/>
        <w:drawing>
          <wp:inline distT="0" distB="0" distL="0" distR="0">
            <wp:extent cx="197485" cy="197485"/>
            <wp:effectExtent l="0" t="0" r="0" b="0"/>
            <wp:docPr id="83" name="Рисунок 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Рисунок 90" descr=""/>
                    <pic:cNvPicPr>
                      <a:picLocks noChangeAspect="1" noChangeArrowheads="1"/>
                    </pic:cNvPicPr>
                  </pic:nvPicPr>
                  <pic:blipFill>
                    <a:blip r:embed="rId96"/>
                    <a:stretch>
                      <a:fillRect/>
                    </a:stretch>
                  </pic:blipFill>
                  <pic:spPr bwMode="auto">
                    <a:xfrm>
                      <a:off x="0" y="0"/>
                      <a:ext cx="197485" cy="19748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поправочный коэффициент (суммарная относительная надбавка или снижение) к норме, учитывающий особенности эксплуатации, % (определяется</w:t>
        <w:br/>
        <w:t xml:space="preserve">в соответствии с </w:t>
      </w:r>
      <w:hyperlink r:id="rId97">
        <w:r>
          <w:rPr>
            <w:sz w:val="28"/>
            <w:szCs w:val="28"/>
          </w:rPr>
          <w:t>пунктом 40</w:t>
        </w:r>
      </w:hyperlink>
      <w:r>
        <w:rPr>
          <w:sz w:val="28"/>
          <w:szCs w:val="28"/>
        </w:rPr>
        <w:t xml:space="preserve"> Инструкции по учету доходов и расходов по обычным видам деятельности на автомобильном транспорте, утвержденной приказом Минтранса России от 24 июня 2003 г. № 153);</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drawing>
          <wp:inline distT="0" distB="0" distL="0" distR="0">
            <wp:extent cx="409575" cy="278130"/>
            <wp:effectExtent l="0" t="0" r="0" b="0"/>
            <wp:docPr id="84" name="Рисунок 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Рисунок 91" descr=""/>
                    <pic:cNvPicPr>
                      <a:picLocks noChangeAspect="1" noChangeArrowheads="1"/>
                    </pic:cNvPicPr>
                  </pic:nvPicPr>
                  <pic:blipFill>
                    <a:blip r:embed="rId98"/>
                    <a:stretch>
                      <a:fillRect/>
                    </a:stretch>
                  </pic:blipFill>
                  <pic:spPr bwMode="auto">
                    <a:xfrm>
                      <a:off x="0" y="0"/>
                      <a:ext cx="40957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норма расхода топлива на работу отопителей салона, л/ч (для автобусов особо малого и малого класса принимается равной 0, для автобусов среднего класса - 2,5, для автобусов большого и особо большого классов - 3,5);</w:t>
      </w:r>
    </w:p>
    <w:p>
      <w:pPr>
        <w:pStyle w:val="ConsPlusNormal"/>
        <w:spacing w:before="0" w:after="0"/>
        <w:ind w:left="0" w:right="0" w:firstLine="709"/>
        <w:jc w:val="both"/>
        <w:rPr/>
      </w:pPr>
      <w:r>
        <w:rPr/>
        <w:drawing>
          <wp:inline distT="0" distB="0" distL="0" distR="0">
            <wp:extent cx="197485" cy="278130"/>
            <wp:effectExtent l="0" t="0" r="0" b="0"/>
            <wp:docPr id="85" name="Рисунок 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Рисунок 92" descr=""/>
                    <pic:cNvPicPr>
                      <a:picLocks noChangeAspect="1" noChangeArrowheads="1"/>
                    </pic:cNvPicPr>
                  </pic:nvPicPr>
                  <pic:blipFill>
                    <a:blip r:embed="rId99"/>
                    <a:stretch>
                      <a:fillRect/>
                    </a:stretch>
                  </pic:blipFill>
                  <pic:spPr bwMode="auto">
                    <a:xfrm>
                      <a:off x="0" y="0"/>
                      <a:ext cx="19748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планируемая в соответствии с расписанием эксплуатационная скорость, км/ч;</w:t>
      </w:r>
    </w:p>
    <w:p>
      <w:pPr>
        <w:pStyle w:val="ConsPlusNormal"/>
        <w:spacing w:before="0" w:after="0"/>
        <w:ind w:left="0" w:right="0" w:firstLine="709"/>
        <w:jc w:val="both"/>
        <w:rPr/>
      </w:pPr>
      <w:r>
        <w:rPr/>
        <w:drawing>
          <wp:inline distT="0" distB="0" distL="0" distR="0">
            <wp:extent cx="248920" cy="278130"/>
            <wp:effectExtent l="0" t="0" r="0" b="0"/>
            <wp:docPr id="86" name="Рисунок 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Рисунок 93" descr=""/>
                    <pic:cNvPicPr>
                      <a:picLocks noChangeAspect="1" noChangeArrowheads="1"/>
                    </pic:cNvPicPr>
                  </pic:nvPicPr>
                  <pic:blipFill>
                    <a:blip r:embed="rId100"/>
                    <a:stretch>
                      <a:fillRect/>
                    </a:stretch>
                  </pic:blipFill>
                  <pic:spPr bwMode="auto">
                    <a:xfrm>
                      <a:off x="0" y="0"/>
                      <a:ext cx="24892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принимаемое в соответствии с условиями контракта количество месяцев работы отопителя салона;</w:t>
      </w:r>
    </w:p>
    <w:p>
      <w:pPr>
        <w:pStyle w:val="ConsPlusNormal"/>
        <w:spacing w:before="0" w:after="0"/>
        <w:ind w:left="0" w:right="0" w:firstLine="709"/>
        <w:jc w:val="both"/>
        <w:rPr/>
      </w:pPr>
      <w:r>
        <w:rPr>
          <w:sz w:val="28"/>
          <w:szCs w:val="28"/>
        </w:rPr>
        <w:t xml:space="preserve">12 </w:t>
      </w:r>
      <w:r>
        <w:rPr>
          <w:rFonts w:eastAsia="" w:cs="Times New Roman" w:eastAsiaTheme="minorEastAsia"/>
          <w:color w:val="auto"/>
          <w:kern w:val="0"/>
          <w:sz w:val="28"/>
          <w:szCs w:val="28"/>
          <w:lang w:val="ru-RU" w:eastAsia="ru-RU" w:bidi="ar-SA"/>
        </w:rPr>
        <w:t>−</w:t>
      </w:r>
      <w:r>
        <w:rPr>
          <w:sz w:val="28"/>
          <w:szCs w:val="28"/>
        </w:rPr>
        <w:t xml:space="preserve"> количество месяцев в году;</w:t>
      </w:r>
    </w:p>
    <w:p>
      <w:pPr>
        <w:pStyle w:val="ConsPlusNormal"/>
        <w:spacing w:before="0" w:after="0"/>
        <w:ind w:left="0" w:right="0" w:firstLine="709"/>
        <w:jc w:val="both"/>
        <w:rPr/>
      </w:pPr>
      <w:r>
        <w:rPr/>
        <w:drawing>
          <wp:inline distT="0" distB="0" distL="0" distR="0">
            <wp:extent cx="226695" cy="278130"/>
            <wp:effectExtent l="0" t="0" r="0" b="0"/>
            <wp:docPr id="87" name="Рисунок 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Рисунок 94" descr=""/>
                    <pic:cNvPicPr>
                      <a:picLocks noChangeAspect="1" noChangeArrowheads="1"/>
                    </pic:cNvPicPr>
                  </pic:nvPicPr>
                  <pic:blipFill>
                    <a:blip r:embed="rId101"/>
                    <a:stretch>
                      <a:fillRect/>
                    </a:stretch>
                  </pic:blipFill>
                  <pic:spPr bwMode="auto">
                    <a:xfrm>
                      <a:off x="0" y="0"/>
                      <a:ext cx="22669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индекс цен производителей нефтепродуктов для t-ого года срока действия контракта (принимаемый в соответствии с публикуемыми Минэкономразвития России прогнозами социально-экономического развития Российской Федерации (если срок действия контракта превышает срок прогноза, индекс цен производителей нефтепродуктов для каждого года срока действия контракта, не указанного в прогнозе, принимается равным индексу цен производителей нефтепродуктов, указанному для последнего года прогноза)).</w:t>
      </w:r>
    </w:p>
    <w:p>
      <w:pPr>
        <w:pStyle w:val="ConsPlusNormal"/>
        <w:spacing w:before="0" w:after="0"/>
        <w:ind w:left="0" w:right="0" w:firstLine="709"/>
        <w:jc w:val="both"/>
        <w:rPr>
          <w:sz w:val="28"/>
          <w:szCs w:val="28"/>
        </w:rPr>
      </w:pPr>
      <w:r>
        <w:rPr>
          <w:sz w:val="28"/>
          <w:szCs w:val="28"/>
        </w:rPr>
      </w:r>
    </w:p>
    <w:p>
      <w:pPr>
        <w:pStyle w:val="ConsPlusNormal"/>
        <w:numPr>
          <w:ilvl w:val="0"/>
          <w:numId w:val="0"/>
        </w:numPr>
        <w:spacing w:before="0" w:after="0"/>
        <w:ind w:left="0" w:right="0" w:firstLine="709"/>
        <w:jc w:val="right"/>
        <w:outlineLvl w:val="2"/>
        <w:rPr>
          <w:sz w:val="28"/>
          <w:szCs w:val="28"/>
        </w:rPr>
      </w:pPr>
      <w:r>
        <w:rPr/>
      </w:r>
    </w:p>
    <w:p>
      <w:pPr>
        <w:pStyle w:val="ConsPlusNormal"/>
        <w:numPr>
          <w:ilvl w:val="0"/>
          <w:numId w:val="0"/>
        </w:numPr>
        <w:spacing w:before="0" w:after="0"/>
        <w:ind w:left="0" w:right="0" w:firstLine="709"/>
        <w:jc w:val="right"/>
        <w:outlineLvl w:val="2"/>
        <w:rPr>
          <w:sz w:val="28"/>
          <w:szCs w:val="28"/>
        </w:rPr>
      </w:pPr>
      <w:r>
        <w:rPr/>
      </w:r>
    </w:p>
    <w:p>
      <w:pPr>
        <w:pStyle w:val="ConsPlusNormal"/>
        <w:numPr>
          <w:ilvl w:val="0"/>
          <w:numId w:val="0"/>
        </w:numPr>
        <w:spacing w:before="0" w:after="0"/>
        <w:ind w:left="0" w:right="0" w:firstLine="709"/>
        <w:jc w:val="right"/>
        <w:outlineLvl w:val="2"/>
        <w:rPr>
          <w:sz w:val="28"/>
          <w:szCs w:val="28"/>
        </w:rPr>
      </w:pPr>
      <w:r>
        <w:rPr/>
      </w:r>
    </w:p>
    <w:p>
      <w:pPr>
        <w:pStyle w:val="ConsPlusNormal"/>
        <w:numPr>
          <w:ilvl w:val="0"/>
          <w:numId w:val="0"/>
        </w:numPr>
        <w:spacing w:before="0" w:after="0"/>
        <w:ind w:left="0" w:right="0" w:firstLine="709"/>
        <w:jc w:val="right"/>
        <w:outlineLvl w:val="2"/>
        <w:rPr/>
      </w:pPr>
      <w:r>
        <w:rPr>
          <w:sz w:val="28"/>
          <w:szCs w:val="28"/>
        </w:rPr>
        <w:t>Таблица 1.1</w:t>
      </w:r>
    </w:p>
    <w:p>
      <w:pPr>
        <w:pStyle w:val="ConsPlusNormal"/>
        <w:spacing w:before="0" w:after="0"/>
        <w:ind w:left="0" w:right="0" w:firstLine="709"/>
        <w:jc w:val="both"/>
        <w:rPr>
          <w:sz w:val="28"/>
          <w:szCs w:val="28"/>
        </w:rPr>
      </w:pPr>
      <w:r>
        <w:rPr>
          <w:sz w:val="28"/>
          <w:szCs w:val="28"/>
        </w:rPr>
      </w:r>
    </w:p>
    <w:p>
      <w:pPr>
        <w:pStyle w:val="ConsPlusTitle"/>
        <w:spacing w:before="0" w:after="0"/>
        <w:ind w:left="0" w:right="0" w:firstLine="709"/>
        <w:jc w:val="center"/>
        <w:rPr/>
      </w:pPr>
      <w:bookmarkStart w:id="14" w:name="Par308"/>
      <w:bookmarkEnd w:id="14"/>
      <w:r>
        <w:rPr>
          <w:rFonts w:cs="Times New Roman" w:ascii="Times New Roman" w:hAnsi="Times New Roman"/>
          <w:sz w:val="28"/>
          <w:szCs w:val="28"/>
        </w:rPr>
        <w:t>Транспортная норма расхода топлива на пробег автобуса (</w:t>
      </w:r>
      <w:r>
        <w:rPr/>
        <w:drawing>
          <wp:inline distT="0" distB="0" distL="0" distR="0">
            <wp:extent cx="307340" cy="285115"/>
            <wp:effectExtent l="0" t="0" r="0" b="0"/>
            <wp:docPr id="88" name="Рисунок 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Рисунок 95" descr=""/>
                    <pic:cNvPicPr>
                      <a:picLocks noChangeAspect="1" noChangeArrowheads="1"/>
                    </pic:cNvPicPr>
                  </pic:nvPicPr>
                  <pic:blipFill>
                    <a:blip r:embed="rId95"/>
                    <a:stretch>
                      <a:fillRect/>
                    </a:stretch>
                  </pic:blipFill>
                  <pic:spPr bwMode="auto">
                    <a:xfrm>
                      <a:off x="0" y="0"/>
                      <a:ext cx="307340" cy="285115"/>
                    </a:xfrm>
                    <a:prstGeom prst="rect">
                      <a:avLst/>
                    </a:prstGeom>
                  </pic:spPr>
                </pic:pic>
              </a:graphicData>
            </a:graphic>
          </wp:inline>
        </w:drawing>
      </w:r>
      <w:r>
        <w:rPr>
          <w:rFonts w:cs="Times New Roman" w:ascii="Times New Roman" w:hAnsi="Times New Roman"/>
          <w:sz w:val="28"/>
          <w:szCs w:val="28"/>
        </w:rPr>
        <w:t>)</w:t>
      </w:r>
    </w:p>
    <w:p>
      <w:pPr>
        <w:pStyle w:val="ConsPlusNormal"/>
        <w:spacing w:before="0" w:after="0"/>
        <w:ind w:left="0" w:right="0" w:firstLine="709"/>
        <w:jc w:val="center"/>
        <w:rPr/>
      </w:pPr>
      <w:r>
        <w:rPr>
          <w:sz w:val="28"/>
          <w:szCs w:val="28"/>
        </w:rPr>
        <w:t xml:space="preserve">(введена </w:t>
      </w:r>
      <w:hyperlink r:id="rId102">
        <w:r>
          <w:rPr>
            <w:sz w:val="28"/>
            <w:szCs w:val="28"/>
          </w:rPr>
          <w:t>Приказом</w:t>
        </w:r>
      </w:hyperlink>
      <w:r>
        <w:rPr>
          <w:sz w:val="28"/>
          <w:szCs w:val="28"/>
        </w:rPr>
        <w:t xml:space="preserve"> Минтранса России от 06.11.2020 № 470)</w:t>
      </w:r>
    </w:p>
    <w:p>
      <w:pPr>
        <w:pStyle w:val="ConsPlusNormal"/>
        <w:spacing w:before="0" w:after="0"/>
        <w:ind w:left="0" w:right="0" w:firstLine="709"/>
        <w:jc w:val="both"/>
        <w:rPr>
          <w:sz w:val="28"/>
          <w:szCs w:val="28"/>
        </w:rPr>
      </w:pPr>
      <w:r>
        <w:rPr>
          <w:sz w:val="28"/>
          <w:szCs w:val="28"/>
        </w:rPr>
      </w:r>
    </w:p>
    <w:tbl>
      <w:tblPr>
        <w:tblW w:w="9064" w:type="dxa"/>
        <w:jc w:val="left"/>
        <w:tblInd w:w="62" w:type="dxa"/>
        <w:tblLayout w:type="fixed"/>
        <w:tblCellMar>
          <w:top w:w="102" w:type="dxa"/>
          <w:left w:w="62" w:type="dxa"/>
          <w:bottom w:w="102" w:type="dxa"/>
          <w:right w:w="62" w:type="dxa"/>
        </w:tblCellMar>
        <w:tblLook w:val="0000" w:noVBand="0" w:noHBand="0" w:lastColumn="0" w:firstColumn="0" w:lastRow="0" w:firstRow="0"/>
      </w:tblPr>
      <w:tblGrid>
        <w:gridCol w:w="1869"/>
        <w:gridCol w:w="3347"/>
        <w:gridCol w:w="2211"/>
        <w:gridCol w:w="1636"/>
      </w:tblGrid>
      <w:tr>
        <w:trPr/>
        <w:tc>
          <w:tcPr>
            <w:tcW w:w="186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Класс автобуса</w:t>
            </w:r>
          </w:p>
        </w:tc>
        <w:tc>
          <w:tcPr>
            <w:tcW w:w="3347"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Вместимость, пасс. (при 5 пассажирах на м</w:t>
            </w:r>
            <w:r>
              <w:rPr>
                <w:sz w:val="28"/>
                <w:szCs w:val="28"/>
                <w:vertAlign w:val="superscript"/>
              </w:rPr>
              <w:t>2</w:t>
            </w:r>
            <w:r>
              <w:rPr>
                <w:sz w:val="28"/>
                <w:szCs w:val="28"/>
              </w:rPr>
              <w:t xml:space="preserve"> площади пола, предназначенной для стоящих пассажиров)</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Вид и марка топлива</w:t>
            </w:r>
          </w:p>
        </w:tc>
        <w:tc>
          <w:tcPr>
            <w:tcW w:w="1636"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pPr>
            <w:r>
              <w:rPr/>
              <w:drawing>
                <wp:inline distT="0" distB="0" distL="0" distR="0">
                  <wp:extent cx="307340" cy="285115"/>
                  <wp:effectExtent l="0" t="0" r="0" b="0"/>
                  <wp:docPr id="89" name="Рисунок 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Рисунок 96" descr=""/>
                          <pic:cNvPicPr>
                            <a:picLocks noChangeAspect="1" noChangeArrowheads="1"/>
                          </pic:cNvPicPr>
                        </pic:nvPicPr>
                        <pic:blipFill>
                          <a:blip r:embed="rId95"/>
                          <a:stretch>
                            <a:fillRect/>
                          </a:stretch>
                        </pic:blipFill>
                        <pic:spPr bwMode="auto">
                          <a:xfrm>
                            <a:off x="0" y="0"/>
                            <a:ext cx="307340" cy="285115"/>
                          </a:xfrm>
                          <a:prstGeom prst="rect">
                            <a:avLst/>
                          </a:prstGeom>
                        </pic:spPr>
                      </pic:pic>
                    </a:graphicData>
                  </a:graphic>
                </wp:inline>
              </w:drawing>
            </w:r>
            <w:r>
              <w:rPr>
                <w:sz w:val="28"/>
                <w:szCs w:val="28"/>
              </w:rPr>
              <w:t>, л/100км</w:t>
            </w:r>
          </w:p>
        </w:tc>
      </w:tr>
      <w:tr>
        <w:trPr/>
        <w:tc>
          <w:tcPr>
            <w:tcW w:w="186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Особо малый</w:t>
            </w:r>
          </w:p>
        </w:tc>
        <w:tc>
          <w:tcPr>
            <w:tcW w:w="3347"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независимо от вместимости</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Бензин АИ-92</w:t>
            </w:r>
          </w:p>
        </w:tc>
        <w:tc>
          <w:tcPr>
            <w:tcW w:w="1636"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14,5</w:t>
            </w:r>
          </w:p>
        </w:tc>
      </w:tr>
      <w:tr>
        <w:trPr/>
        <w:tc>
          <w:tcPr>
            <w:tcW w:w="186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Малый</w:t>
            </w:r>
          </w:p>
        </w:tc>
        <w:tc>
          <w:tcPr>
            <w:tcW w:w="3347"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13 – 22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Бензин АИ-92</w:t>
            </w:r>
          </w:p>
        </w:tc>
        <w:tc>
          <w:tcPr>
            <w:tcW w:w="1636"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17,0</w:t>
            </w:r>
          </w:p>
        </w:tc>
      </w:tr>
      <w:tr>
        <w:trPr/>
        <w:tc>
          <w:tcPr>
            <w:tcW w:w="186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r>
          </w:p>
        </w:tc>
        <w:tc>
          <w:tcPr>
            <w:tcW w:w="3347"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свыше 22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Бензин АИ-92</w:t>
            </w:r>
          </w:p>
        </w:tc>
        <w:tc>
          <w:tcPr>
            <w:tcW w:w="1636"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32,0</w:t>
            </w:r>
          </w:p>
        </w:tc>
      </w:tr>
      <w:tr>
        <w:trPr/>
        <w:tc>
          <w:tcPr>
            <w:tcW w:w="186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r>
          </w:p>
        </w:tc>
        <w:tc>
          <w:tcPr>
            <w:tcW w:w="3347"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13 - 22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Дизельное</w:t>
            </w:r>
          </w:p>
        </w:tc>
        <w:tc>
          <w:tcPr>
            <w:tcW w:w="1636"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14,2</w:t>
            </w:r>
          </w:p>
        </w:tc>
      </w:tr>
      <w:tr>
        <w:trPr/>
        <w:tc>
          <w:tcPr>
            <w:tcW w:w="186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r>
          </w:p>
        </w:tc>
        <w:tc>
          <w:tcPr>
            <w:tcW w:w="3347"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свыше 22</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Дизельное</w:t>
            </w:r>
          </w:p>
        </w:tc>
        <w:tc>
          <w:tcPr>
            <w:tcW w:w="1636"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23,2</w:t>
            </w:r>
          </w:p>
        </w:tc>
      </w:tr>
      <w:tr>
        <w:trPr/>
        <w:tc>
          <w:tcPr>
            <w:tcW w:w="186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Средний</w:t>
            </w:r>
          </w:p>
        </w:tc>
        <w:tc>
          <w:tcPr>
            <w:tcW w:w="3347"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до 54 включительно</w:t>
            </w:r>
          </w:p>
        </w:tc>
        <w:tc>
          <w:tcPr>
            <w:tcW w:w="2211"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Дизельное</w:t>
            </w:r>
          </w:p>
        </w:tc>
        <w:tc>
          <w:tcPr>
            <w:tcW w:w="1636"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26,2</w:t>
            </w:r>
          </w:p>
        </w:tc>
      </w:tr>
      <w:tr>
        <w:trPr/>
        <w:tc>
          <w:tcPr>
            <w:tcW w:w="186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r>
          </w:p>
        </w:tc>
        <w:tc>
          <w:tcPr>
            <w:tcW w:w="334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свыше 54</w:t>
            </w:r>
          </w:p>
        </w:tc>
        <w:tc>
          <w:tcPr>
            <w:tcW w:w="221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Дизельное</w:t>
            </w:r>
          </w:p>
        </w:tc>
        <w:tc>
          <w:tcPr>
            <w:tcW w:w="1636"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29,6</w:t>
            </w:r>
          </w:p>
        </w:tc>
      </w:tr>
      <w:tr>
        <w:trPr/>
        <w:tc>
          <w:tcPr>
            <w:tcW w:w="186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Большой</w:t>
            </w:r>
          </w:p>
        </w:tc>
        <w:tc>
          <w:tcPr>
            <w:tcW w:w="334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до 54 включительно</w:t>
            </w:r>
          </w:p>
        </w:tc>
        <w:tc>
          <w:tcPr>
            <w:tcW w:w="221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Дизельное</w:t>
            </w:r>
          </w:p>
        </w:tc>
        <w:tc>
          <w:tcPr>
            <w:tcW w:w="1636"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33,6</w:t>
            </w:r>
          </w:p>
        </w:tc>
      </w:tr>
      <w:tr>
        <w:trPr/>
        <w:tc>
          <w:tcPr>
            <w:tcW w:w="186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r>
          </w:p>
        </w:tc>
        <w:tc>
          <w:tcPr>
            <w:tcW w:w="334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55 - 120</w:t>
            </w:r>
          </w:p>
        </w:tc>
        <w:tc>
          <w:tcPr>
            <w:tcW w:w="221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Дизельное</w:t>
            </w:r>
          </w:p>
        </w:tc>
        <w:tc>
          <w:tcPr>
            <w:tcW w:w="1636"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39,8</w:t>
            </w:r>
          </w:p>
        </w:tc>
      </w:tr>
      <w:tr>
        <w:trPr/>
        <w:tc>
          <w:tcPr>
            <w:tcW w:w="186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r>
          </w:p>
        </w:tc>
        <w:tc>
          <w:tcPr>
            <w:tcW w:w="334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свыше 120</w:t>
            </w:r>
          </w:p>
        </w:tc>
        <w:tc>
          <w:tcPr>
            <w:tcW w:w="221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Дизельное</w:t>
            </w:r>
          </w:p>
        </w:tc>
        <w:tc>
          <w:tcPr>
            <w:tcW w:w="1636"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46,1</w:t>
            </w:r>
          </w:p>
        </w:tc>
      </w:tr>
      <w:tr>
        <w:trPr/>
        <w:tc>
          <w:tcPr>
            <w:tcW w:w="1869"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Особо большой</w:t>
            </w:r>
          </w:p>
        </w:tc>
        <w:tc>
          <w:tcPr>
            <w:tcW w:w="3347"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независимо от вместимости</w:t>
            </w:r>
          </w:p>
        </w:tc>
        <w:tc>
          <w:tcPr>
            <w:tcW w:w="2211"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Дизельное</w:t>
            </w:r>
          </w:p>
        </w:tc>
        <w:tc>
          <w:tcPr>
            <w:tcW w:w="1636"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47,5</w:t>
            </w:r>
          </w:p>
        </w:tc>
      </w:tr>
    </w:tbl>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bookmarkStart w:id="15" w:name="Par355"/>
      <w:bookmarkEnd w:id="15"/>
      <w:r>
        <w:rPr>
          <w:sz w:val="28"/>
          <w:szCs w:val="28"/>
        </w:rPr>
        <w:t>8. Расходы на смазочные и прочие эксплуатационные материалы для транспортных средств i-го класса в t-ый год срока действия контракта в расчете</w:t>
        <w:br/>
        <w:t>на 1 км пробега (</w:t>
      </w:r>
      <w:r>
        <w:rPr/>
        <w:drawing>
          <wp:inline distT="0" distB="0" distL="0" distR="0">
            <wp:extent cx="402590" cy="278130"/>
            <wp:effectExtent l="0" t="0" r="0" b="0"/>
            <wp:docPr id="90" name="Рисунок 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Рисунок 97" descr=""/>
                    <pic:cNvPicPr>
                      <a:picLocks noChangeAspect="1" noChangeArrowheads="1"/>
                    </pic:cNvPicPr>
                  </pic:nvPicPr>
                  <pic:blipFill>
                    <a:blip r:embed="rId103"/>
                    <a:stretch>
                      <a:fillRect/>
                    </a:stretch>
                  </pic:blipFill>
                  <pic:spPr bwMode="auto">
                    <a:xfrm>
                      <a:off x="0" y="0"/>
                      <a:ext cx="402590" cy="278130"/>
                    </a:xfrm>
                    <a:prstGeom prst="rect">
                      <a:avLst/>
                    </a:prstGeom>
                  </pic:spPr>
                </pic:pic>
              </a:graphicData>
            </a:graphic>
          </wp:inline>
        </w:drawing>
      </w:r>
      <w:r>
        <w:rPr>
          <w:sz w:val="28"/>
          <w:szCs w:val="28"/>
        </w:rPr>
        <w:t>) определяются по формуле (8).</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2472690" cy="278130"/>
            <wp:effectExtent l="0" t="0" r="0" b="0"/>
            <wp:docPr id="91" name="Рисунок 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Рисунок 98" descr=""/>
                    <pic:cNvPicPr>
                      <a:picLocks noChangeAspect="1" noChangeArrowheads="1"/>
                    </pic:cNvPicPr>
                  </pic:nvPicPr>
                  <pic:blipFill>
                    <a:blip r:embed="rId104"/>
                    <a:stretch>
                      <a:fillRect/>
                    </a:stretch>
                  </pic:blipFill>
                  <pic:spPr bwMode="auto">
                    <a:xfrm>
                      <a:off x="0" y="0"/>
                      <a:ext cx="2472690" cy="278130"/>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sz w:val="28"/>
          <w:szCs w:val="28"/>
        </w:rPr>
        <w:t xml:space="preserve">0,075 </w:t>
      </w:r>
      <w:r>
        <w:rPr>
          <w:rFonts w:eastAsia="" w:cs="Times New Roman" w:eastAsiaTheme="minorEastAsia"/>
          <w:color w:val="auto"/>
          <w:kern w:val="0"/>
          <w:sz w:val="28"/>
          <w:szCs w:val="28"/>
          <w:lang w:val="ru-RU" w:eastAsia="ru-RU" w:bidi="ar-SA"/>
        </w:rPr>
        <w:t>−</w:t>
      </w:r>
      <w:r>
        <w:rPr>
          <w:sz w:val="28"/>
          <w:szCs w:val="28"/>
        </w:rPr>
        <w:t xml:space="preserve"> отношение расходов на смазочные и прочие эксплуатационные материалы к расходам на топливо для транспортных средств;</w:t>
      </w:r>
    </w:p>
    <w:p>
      <w:pPr>
        <w:pStyle w:val="ConsPlusNormal"/>
        <w:spacing w:before="0" w:after="0"/>
        <w:ind w:left="0" w:right="0" w:firstLine="709"/>
        <w:jc w:val="both"/>
        <w:rPr/>
      </w:pPr>
      <w:r>
        <w:rPr/>
        <w:drawing>
          <wp:inline distT="0" distB="0" distL="0" distR="0">
            <wp:extent cx="285115" cy="278130"/>
            <wp:effectExtent l="0" t="0" r="0" b="0"/>
            <wp:docPr id="92" name="Рисунок 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Рисунок 99" descr=""/>
                    <pic:cNvPicPr>
                      <a:picLocks noChangeAspect="1" noChangeArrowheads="1"/>
                    </pic:cNvPicPr>
                  </pic:nvPicPr>
                  <pic:blipFill>
                    <a:blip r:embed="rId105"/>
                    <a:stretch>
                      <a:fillRect/>
                    </a:stretch>
                  </pic:blipFill>
                  <pic:spPr bwMode="auto">
                    <a:xfrm>
                      <a:off x="0" y="0"/>
                      <a:ext cx="28511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расходы на топливо для транспортных средств i-го класса в t-ый год срока действия контракта в расчете на 1 км пробега.</w:t>
      </w:r>
    </w:p>
    <w:p>
      <w:pPr>
        <w:pStyle w:val="ConsPlusNormal"/>
        <w:spacing w:before="0" w:after="0"/>
        <w:ind w:left="0" w:right="0" w:firstLine="709"/>
        <w:jc w:val="both"/>
        <w:rPr/>
      </w:pPr>
      <w:bookmarkStart w:id="16" w:name="Par362"/>
      <w:bookmarkEnd w:id="16"/>
      <w:r>
        <w:rPr>
          <w:sz w:val="28"/>
          <w:szCs w:val="28"/>
        </w:rPr>
        <w:t>9. Расходы на износ и ремонт шин транспортных средств i-го класса в t-ый год срока действия контракта в расчете на 1 км пробега (</w:t>
      </w:r>
      <w:r>
        <w:rPr/>
        <w:drawing>
          <wp:inline distT="0" distB="0" distL="0" distR="0">
            <wp:extent cx="358140" cy="278130"/>
            <wp:effectExtent l="0" t="0" r="0" b="0"/>
            <wp:docPr id="93" name="Рисунок 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Рисунок 100" descr=""/>
                    <pic:cNvPicPr>
                      <a:picLocks noChangeAspect="1" noChangeArrowheads="1"/>
                    </pic:cNvPicPr>
                  </pic:nvPicPr>
                  <pic:blipFill>
                    <a:blip r:embed="rId106"/>
                    <a:stretch>
                      <a:fillRect/>
                    </a:stretch>
                  </pic:blipFill>
                  <pic:spPr bwMode="auto">
                    <a:xfrm>
                      <a:off x="0" y="0"/>
                      <a:ext cx="358140" cy="278130"/>
                    </a:xfrm>
                    <a:prstGeom prst="rect">
                      <a:avLst/>
                    </a:prstGeom>
                  </pic:spPr>
                </pic:pic>
              </a:graphicData>
            </a:graphic>
          </wp:inline>
        </w:drawing>
      </w:r>
      <w:r>
        <w:rPr>
          <w:sz w:val="28"/>
          <w:szCs w:val="28"/>
        </w:rPr>
        <w:t>) определяются по формуле (9).</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2275205" cy="278130"/>
            <wp:effectExtent l="0" t="0" r="0" b="0"/>
            <wp:docPr id="94" name="Рисунок 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Рисунок 101" descr=""/>
                    <pic:cNvPicPr>
                      <a:picLocks noChangeAspect="1" noChangeArrowheads="1"/>
                    </pic:cNvPicPr>
                  </pic:nvPicPr>
                  <pic:blipFill>
                    <a:blip r:embed="rId107"/>
                    <a:stretch>
                      <a:fillRect/>
                    </a:stretch>
                  </pic:blipFill>
                  <pic:spPr bwMode="auto">
                    <a:xfrm>
                      <a:off x="0" y="0"/>
                      <a:ext cx="2275205" cy="278130"/>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321945" cy="278130"/>
            <wp:effectExtent l="0" t="0" r="0" b="0"/>
            <wp:docPr id="95" name="Рисунок 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Рисунок 102" descr=""/>
                    <pic:cNvPicPr>
                      <a:picLocks noChangeAspect="1" noChangeArrowheads="1"/>
                    </pic:cNvPicPr>
                  </pic:nvPicPr>
                  <pic:blipFill>
                    <a:blip r:embed="rId108"/>
                    <a:stretch>
                      <a:fillRect/>
                    </a:stretch>
                  </pic:blipFill>
                  <pic:spPr bwMode="auto">
                    <a:xfrm>
                      <a:off x="0" y="0"/>
                      <a:ext cx="32194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базовые удельные расходы на шины i-го класса в расчете на 1 км пробега транспортных средств i-го класса, включая НДС, руб./км (для автобусов особо малого класса принимаются равными не менее 0,15, для автобусов малого класса - не менее 0,28, для автобусов среднего класса - не менее 0,66, для автобусов большого класса - не менее 0,84, для автобусов особо большого класса - не менее 0,94).</w:t>
      </w:r>
    </w:p>
    <w:p>
      <w:pPr>
        <w:pStyle w:val="ConsPlusNormal"/>
        <w:spacing w:before="0" w:after="0"/>
        <w:ind w:left="0" w:right="0" w:firstLine="709"/>
        <w:jc w:val="both"/>
        <w:rPr/>
      </w:pPr>
      <w:r>
        <w:rPr/>
        <w:drawing>
          <wp:inline distT="0" distB="0" distL="0" distR="0">
            <wp:extent cx="241300" cy="278130"/>
            <wp:effectExtent l="0" t="0" r="0" b="0"/>
            <wp:docPr id="96" name="Рисунок 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Рисунок 103" descr=""/>
                    <pic:cNvPicPr>
                      <a:picLocks noChangeAspect="1" noChangeArrowheads="1"/>
                    </pic:cNvPicPr>
                  </pic:nvPicPr>
                  <pic:blipFill>
                    <a:blip r:embed="rId109"/>
                    <a:stretch>
                      <a:fillRect/>
                    </a:stretch>
                  </pic:blipFill>
                  <pic:spPr bwMode="auto">
                    <a:xfrm>
                      <a:off x="0" y="0"/>
                      <a:ext cx="24130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индекс цен на машины и оборудование для t-ого года срока действия контракта (принимается равным произведению определяемых Росстатом индексов цен производителей машин и оборудования за период с декабря 2017 года по период, ближайший к началу срока действия контракта, и прогнозного индекса цен производителей на продукцию машиностроения для каждого года срока действия контракта, определяемого Минэкономразвития России в прогнозе социально-экономического развития Российской Федерации (если срок действия контракта превышает срок прогноза, индекс цен производителей на продукцию машиностроения для каждого года срока действия контракта, не указанного в прогнозе, принимается равным индексу цен производителей на продукцию машиностроения, указанному для последнего года прогноза)).</w:t>
      </w:r>
    </w:p>
    <w:p>
      <w:pPr>
        <w:pStyle w:val="ConsPlusNormal"/>
        <w:spacing w:before="0" w:after="0"/>
        <w:ind w:left="0" w:right="0" w:firstLine="709"/>
        <w:jc w:val="both"/>
        <w:rPr/>
      </w:pPr>
      <w:r>
        <w:rPr>
          <w:sz w:val="28"/>
          <w:szCs w:val="28"/>
        </w:rPr>
        <w:t>10. Расходы на техническое обслуживание и ремонт транспортных средств i-го класса в t-ый год срока действия контракта в расчете на 1 км пробега (</w:t>
      </w:r>
      <w:r>
        <w:rPr/>
        <w:drawing>
          <wp:inline distT="0" distB="0" distL="0" distR="0">
            <wp:extent cx="365760" cy="278130"/>
            <wp:effectExtent l="0" t="0" r="0" b="0"/>
            <wp:docPr id="97" name="Рисунок 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Рисунок 104" descr=""/>
                    <pic:cNvPicPr>
                      <a:picLocks noChangeAspect="1" noChangeArrowheads="1"/>
                    </pic:cNvPicPr>
                  </pic:nvPicPr>
                  <pic:blipFill>
                    <a:blip r:embed="rId54"/>
                    <a:stretch>
                      <a:fillRect/>
                    </a:stretch>
                  </pic:blipFill>
                  <pic:spPr bwMode="auto">
                    <a:xfrm>
                      <a:off x="0" y="0"/>
                      <a:ext cx="365760" cy="278130"/>
                    </a:xfrm>
                    <a:prstGeom prst="rect">
                      <a:avLst/>
                    </a:prstGeom>
                  </pic:spPr>
                </pic:pic>
              </a:graphicData>
            </a:graphic>
          </wp:inline>
        </w:drawing>
      </w:r>
      <w:r>
        <w:rPr>
          <w:sz w:val="28"/>
          <w:szCs w:val="28"/>
        </w:rPr>
        <w:t>) определяются по формуле (10).</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2743200" cy="285115"/>
            <wp:effectExtent l="0" t="0" r="0" b="0"/>
            <wp:docPr id="98" name="Рисунок 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Рисунок 105" descr=""/>
                    <pic:cNvPicPr>
                      <a:picLocks noChangeAspect="1" noChangeArrowheads="1"/>
                    </pic:cNvPicPr>
                  </pic:nvPicPr>
                  <pic:blipFill>
                    <a:blip r:embed="rId110"/>
                    <a:stretch>
                      <a:fillRect/>
                    </a:stretch>
                  </pic:blipFill>
                  <pic:spPr bwMode="auto">
                    <a:xfrm>
                      <a:off x="0" y="0"/>
                      <a:ext cx="2743200" cy="285115"/>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592455" cy="285115"/>
            <wp:effectExtent l="0" t="0" r="0" b="0"/>
            <wp:docPr id="99" name="Рисунок 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Рисунок 106" descr=""/>
                    <pic:cNvPicPr>
                      <a:picLocks noChangeAspect="1" noChangeArrowheads="1"/>
                    </pic:cNvPicPr>
                  </pic:nvPicPr>
                  <pic:blipFill>
                    <a:blip r:embed="rId111"/>
                    <a:stretch>
                      <a:fillRect/>
                    </a:stretch>
                  </pic:blipFill>
                  <pic:spPr bwMode="auto">
                    <a:xfrm>
                      <a:off x="0" y="0"/>
                      <a:ext cx="592455"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377" w:tgtFrame="11. Расходы на оплату труда ремонтных рабочих с отчислениями на социальные нужды в расчете на 1 км пробега транспортных средств i-го класса в t-ый год срока действия контракта (_) определяются по формуле (11).">
        <w:r>
          <w:rPr>
            <w:sz w:val="28"/>
            <w:szCs w:val="28"/>
          </w:rPr>
          <w:t>пунктом 11</w:t>
        </w:r>
      </w:hyperlink>
      <w:r>
        <w:rPr>
          <w:sz w:val="28"/>
          <w:szCs w:val="28"/>
        </w:rPr>
        <w:t xml:space="preserve"> настоящего приложения расходы на оплату труда ремонтных рабочих с отчислениями на социальные нужды в расчете на 1 км пробега транспортных средств i-го класса в t-ый год срока действия контракта;</w:t>
      </w:r>
    </w:p>
    <w:p>
      <w:pPr>
        <w:pStyle w:val="ConsPlusNormal"/>
        <w:spacing w:before="0" w:after="0"/>
        <w:ind w:left="0" w:right="0" w:firstLine="709"/>
        <w:jc w:val="both"/>
        <w:rPr/>
      </w:pPr>
      <w:r>
        <w:rPr/>
        <w:drawing>
          <wp:inline distT="0" distB="0" distL="0" distR="0">
            <wp:extent cx="365760" cy="278130"/>
            <wp:effectExtent l="0" t="0" r="0" b="0"/>
            <wp:docPr id="100" name="Рисунок 10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Рисунок 107" descr=""/>
                    <pic:cNvPicPr>
                      <a:picLocks noChangeAspect="1" noChangeArrowheads="1"/>
                    </pic:cNvPicPr>
                  </pic:nvPicPr>
                  <pic:blipFill>
                    <a:blip r:embed="rId112"/>
                    <a:stretch>
                      <a:fillRect/>
                    </a:stretch>
                  </pic:blipFill>
                  <pic:spPr bwMode="auto">
                    <a:xfrm>
                      <a:off x="0" y="0"/>
                      <a:ext cx="36576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435" w:tgtFrame="13. Расходы на запасные части и материалы, используемые при техническом обслуживании и ремонте транспортных средств i-го класса в t-ый год срока действия контракта в расчете на 1 км пробега (_) определяются по формуле (13).">
        <w:r>
          <w:rPr>
            <w:sz w:val="28"/>
            <w:szCs w:val="28"/>
          </w:rPr>
          <w:t>пунктом 13</w:t>
        </w:r>
      </w:hyperlink>
      <w:r>
        <w:rPr>
          <w:sz w:val="28"/>
          <w:szCs w:val="28"/>
        </w:rPr>
        <w:t xml:space="preserve"> настоящего приложения расходы на запасные части и материалы, используемые при техническом обслуживании и ремонте транспортных средств i-го класса в t-ый год срока действия контракта в расчете на 1 км пробега.</w:t>
      </w:r>
    </w:p>
    <w:p>
      <w:pPr>
        <w:pStyle w:val="ConsPlusNormal"/>
        <w:spacing w:before="0" w:after="0"/>
        <w:ind w:left="0" w:right="0" w:firstLine="709"/>
        <w:jc w:val="both"/>
        <w:rPr/>
      </w:pPr>
      <w:bookmarkStart w:id="17" w:name="Par377"/>
      <w:bookmarkEnd w:id="17"/>
      <w:r>
        <w:rPr>
          <w:sz w:val="28"/>
          <w:szCs w:val="28"/>
        </w:rPr>
        <w:t>11. Расходы на оплату труда ремонтных рабочих с отчислениями на социальные нужды в расчете на 1 км пробега транспортных средств i-го класса в t-ый год срока действия контракта (</w:t>
      </w:r>
      <w:r>
        <w:rPr/>
        <w:drawing>
          <wp:inline distT="0" distB="0" distL="0" distR="0">
            <wp:extent cx="592455" cy="285115"/>
            <wp:effectExtent l="0" t="0" r="0" b="0"/>
            <wp:docPr id="101" name="Рисунок 1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Рисунок 108" descr=""/>
                    <pic:cNvPicPr>
                      <a:picLocks noChangeAspect="1" noChangeArrowheads="1"/>
                    </pic:cNvPicPr>
                  </pic:nvPicPr>
                  <pic:blipFill>
                    <a:blip r:embed="rId111"/>
                    <a:stretch>
                      <a:fillRect/>
                    </a:stretch>
                  </pic:blipFill>
                  <pic:spPr bwMode="auto">
                    <a:xfrm>
                      <a:off x="0" y="0"/>
                      <a:ext cx="592455" cy="285115"/>
                    </a:xfrm>
                    <a:prstGeom prst="rect">
                      <a:avLst/>
                    </a:prstGeom>
                  </pic:spPr>
                </pic:pic>
              </a:graphicData>
            </a:graphic>
          </wp:inline>
        </w:drawing>
      </w:r>
      <w:r>
        <w:rPr>
          <w:sz w:val="28"/>
          <w:szCs w:val="28"/>
        </w:rPr>
        <w:t>) определяются по формуле (11).</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r>
      <m:oMath xmlns:m="http://schemas.openxmlformats.org/officeDocument/2006/math">
        <m:sSub>
          <m:e>
            <m:r>
              <w:rPr>
                <w:rFonts w:ascii="Cambria Math" w:hAnsi="Cambria Math"/>
              </w:rPr>
              <m:t xml:space="preserve">ФОТ</m:t>
            </m:r>
          </m:e>
          <m:sub>
            <m:r>
              <w:rPr>
                <w:rFonts w:ascii="Cambria Math" w:hAnsi="Cambria Math"/>
              </w:rPr>
              <m:t xml:space="preserve">ppi</m:t>
            </m:r>
          </m:sub>
        </m:sSub>
        <m:r>
          <w:rPr>
            <w:rFonts w:ascii="Cambria Math" w:hAnsi="Cambria Math"/>
          </w:rPr>
          <m:t xml:space="preserve">=</m:t>
        </m:r>
        <m:d>
          <m:dPr>
            <m:begChr m:val="("/>
            <m:endChr m:val=")"/>
          </m:dPr>
          <m:e>
            <m:r>
              <w:rPr>
                <w:rFonts w:ascii="Cambria Math" w:hAnsi="Cambria Math"/>
              </w:rPr>
              <m:t xml:space="preserve">12</m:t>
            </m:r>
            <m:r>
              <w:rPr>
                <w:rFonts w:ascii="Cambria Math" w:hAnsi="Cambria Math"/>
              </w:rPr>
              <m:t xml:space="preserve">×</m:t>
            </m:r>
            <m:f>
              <m:num>
                <m:r>
                  <w:rPr>
                    <w:rFonts w:ascii="Cambria Math" w:hAnsi="Cambria Math"/>
                  </w:rPr>
                  <m:t xml:space="preserve">ЗПР</m:t>
                </m:r>
              </m:num>
              <m:den>
                <m:sSub>
                  <m:e>
                    <m:r>
                      <w:rPr>
                        <w:rFonts w:ascii="Cambria Math" w:hAnsi="Cambria Math"/>
                      </w:rPr>
                      <m:t xml:space="preserve">ФРВ</m:t>
                    </m:r>
                  </m:e>
                  <m:sub>
                    <m:r>
                      <w:rPr>
                        <w:rFonts w:ascii="Cambria Math" w:hAnsi="Cambria Math"/>
                      </w:rPr>
                      <m:t xml:space="preserve">рр</m:t>
                    </m:r>
                  </m:sub>
                </m:sSub>
              </m:den>
            </m:f>
          </m:e>
        </m:d>
        <m:r>
          <w:rPr>
            <w:rFonts w:ascii="Cambria Math" w:hAnsi="Cambria Math"/>
          </w:rPr>
          <m:t xml:space="preserve">×</m:t>
        </m:r>
        <m:sSub>
          <m:e>
            <m:r>
              <w:rPr>
                <w:rFonts w:ascii="Cambria Math" w:hAnsi="Cambria Math"/>
              </w:rPr>
              <m:t xml:space="preserve">I</m:t>
            </m:r>
          </m:e>
          <m:sub>
            <m:r>
              <w:rPr>
                <w:rFonts w:ascii="Cambria Math" w:hAnsi="Cambria Math"/>
              </w:rPr>
              <m:t xml:space="preserve">пц</m:t>
            </m:r>
            <m:r>
              <w:rPr>
                <w:rFonts w:ascii="Cambria Math" w:hAnsi="Cambria Math"/>
              </w:rPr>
              <m:t xml:space="preserve">t</m:t>
            </m:r>
          </m:sub>
        </m:sSub>
        <m:r>
          <w:rPr>
            <w:rFonts w:ascii="Cambria Math" w:hAnsi="Cambria Math"/>
          </w:rPr>
          <m:t xml:space="preserve">×</m:t>
        </m:r>
        <m:d>
          <m:dPr>
            <m:begChr m:val="("/>
            <m:endChr m:val=")"/>
          </m:dPr>
          <m:e>
            <m:f>
              <m:num>
                <m:sSub>
                  <m:e>
                    <m:r>
                      <w:rPr>
                        <w:rFonts w:ascii="Cambria Math" w:hAnsi="Cambria Math"/>
                      </w:rPr>
                      <m:t xml:space="preserve">T</m:t>
                    </m:r>
                  </m:e>
                  <m:sub>
                    <m:r>
                      <w:rPr>
                        <w:rFonts w:ascii="Cambria Math" w:hAnsi="Cambria Math"/>
                      </w:rPr>
                      <m:t xml:space="preserve">Ti</m:t>
                    </m:r>
                  </m:sub>
                </m:sSub>
              </m:num>
              <m:den>
                <m:sSub>
                  <m:e>
                    <m:r>
                      <w:rPr>
                        <w:rFonts w:ascii="Cambria Math" w:hAnsi="Cambria Math"/>
                      </w:rPr>
                      <m:t xml:space="preserve">К</m:t>
                    </m:r>
                  </m:e>
                  <m:sub>
                    <m:r>
                      <w:rPr>
                        <w:rFonts w:ascii="Cambria Math" w:hAnsi="Cambria Math"/>
                      </w:rPr>
                      <m:t xml:space="preserve">ТО</m:t>
                    </m:r>
                  </m:sub>
                </m:sSub>
              </m:den>
            </m:f>
            <m:r>
              <w:rPr>
                <w:rFonts w:ascii="Cambria Math" w:hAnsi="Cambria Math"/>
              </w:rPr>
              <m:t xml:space="preserve">+</m:t>
            </m:r>
            <m:sSub>
              <m:e>
                <m:r>
                  <w:rPr>
                    <w:rFonts w:ascii="Cambria Math" w:hAnsi="Cambria Math"/>
                  </w:rPr>
                  <m:t xml:space="preserve">T</m:t>
                </m:r>
              </m:e>
              <m:sub>
                <m:r>
                  <w:rPr>
                    <w:rFonts w:ascii="Cambria Math" w:hAnsi="Cambria Math"/>
                  </w:rPr>
                  <m:t xml:space="preserve">pi</m:t>
                </m:r>
              </m:sub>
            </m:sSub>
            <m:r>
              <w:rPr>
                <w:rFonts w:ascii="Cambria Math" w:hAnsi="Cambria Math"/>
              </w:rPr>
              <m:t xml:space="preserve">×</m:t>
            </m:r>
            <m:sSub>
              <m:e>
                <m:r>
                  <w:rPr>
                    <w:rFonts w:ascii="Cambria Math" w:hAnsi="Cambria Math"/>
                  </w:rPr>
                  <m:t xml:space="preserve">К</m:t>
                </m:r>
              </m:e>
              <m:sub>
                <m:r>
                  <w:rPr>
                    <w:rFonts w:ascii="Cambria Math" w:hAnsi="Cambria Math"/>
                  </w:rPr>
                  <m:t xml:space="preserve">КР</m:t>
                </m:r>
              </m:sub>
            </m:sSub>
          </m:e>
        </m:d>
        <m:r>
          <w:rPr>
            <w:rFonts w:ascii="Cambria Math" w:hAnsi="Cambria Math"/>
          </w:rPr>
          <m:t xml:space="preserve">×</m:t>
        </m:r>
        <m:r>
          <w:rPr>
            <w:rFonts w:ascii="Cambria Math" w:hAnsi="Cambria Math"/>
          </w:rPr>
          <m:t xml:space="preserve">0,001</m:t>
        </m:r>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f>
              <m:fPr>
                <m:type m:val="lin"/>
              </m:fPr>
              <m:num>
                <m:sSub>
                  <m:e>
                    <m:r>
                      <w:rPr>
                        <w:rFonts w:ascii="Cambria Math" w:hAnsi="Cambria Math"/>
                      </w:rPr>
                      <m:t xml:space="preserve">С</m:t>
                    </m:r>
                  </m:e>
                  <m:sub>
                    <m:r>
                      <w:rPr>
                        <w:rFonts w:ascii="Cambria Math" w:hAnsi="Cambria Math"/>
                      </w:rPr>
                      <m:t xml:space="preserve">ТС</m:t>
                    </m:r>
                  </m:sub>
                </m:sSub>
              </m:num>
              <m:den>
                <m:r>
                  <w:rPr>
                    <w:rFonts w:ascii="Cambria Math" w:hAnsi="Cambria Math"/>
                  </w:rPr>
                  <m:t xml:space="preserve">100</m:t>
                </m:r>
              </m:den>
            </m:f>
          </m:e>
        </m:d>
      </m:oMath>
      <w:r>
        <w:rPr>
          <w:i/>
          <w:sz w:val="28"/>
          <w:szCs w:val="28"/>
        </w:rPr>
        <w:t xml:space="preserve">, </w:t>
      </w:r>
      <w:r>
        <w:rPr>
          <w:sz w:val="28"/>
          <w:szCs w:val="28"/>
        </w:rPr>
        <w:t>руб./км (11)</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sz w:val="28"/>
          <w:szCs w:val="28"/>
        </w:rPr>
        <w:t xml:space="preserve">0,001 </w:t>
      </w:r>
      <w:r>
        <w:rPr>
          <w:rFonts w:eastAsia="" w:cs="Times New Roman" w:eastAsiaTheme="minorEastAsia"/>
          <w:color w:val="auto"/>
          <w:kern w:val="0"/>
          <w:sz w:val="28"/>
          <w:szCs w:val="28"/>
          <w:lang w:val="ru-RU" w:eastAsia="ru-RU" w:bidi="ar-SA"/>
        </w:rPr>
        <w:t>−</w:t>
      </w:r>
      <w:r>
        <w:rPr>
          <w:sz w:val="28"/>
          <w:szCs w:val="28"/>
        </w:rPr>
        <w:t xml:space="preserve"> коэффициент приведения базовой удельной трудоемкости технического обслуживания и ремонта транспортных средств к 1 км пробега;</w:t>
      </w:r>
    </w:p>
    <w:p>
      <w:pPr>
        <w:pStyle w:val="ConsPlusNormal"/>
        <w:spacing w:before="0" w:after="0"/>
        <w:ind w:left="0" w:right="0" w:firstLine="709"/>
        <w:jc w:val="both"/>
        <w:rPr/>
      </w:pPr>
      <w:r>
        <w:rPr>
          <w:sz w:val="28"/>
          <w:szCs w:val="28"/>
        </w:rPr>
        <w:t xml:space="preserve">12 </w:t>
      </w:r>
      <w:r>
        <w:rPr>
          <w:rFonts w:eastAsia="" w:cs="Times New Roman" w:eastAsiaTheme="minorEastAsia"/>
          <w:color w:val="auto"/>
          <w:kern w:val="0"/>
          <w:sz w:val="28"/>
          <w:szCs w:val="28"/>
          <w:lang w:val="ru-RU" w:eastAsia="ru-RU" w:bidi="ar-SA"/>
        </w:rPr>
        <w:t>−</w:t>
      </w:r>
      <w:r>
        <w:rPr>
          <w:sz w:val="28"/>
          <w:szCs w:val="28"/>
        </w:rPr>
        <w:t xml:space="preserve"> количество месяцев в году;</w:t>
      </w:r>
    </w:p>
    <w:p>
      <w:pPr>
        <w:pStyle w:val="ConsPlusNormal"/>
        <w:spacing w:before="0" w:after="0"/>
        <w:ind w:left="0" w:right="0" w:firstLine="709"/>
        <w:jc w:val="both"/>
        <w:rPr/>
      </w:pPr>
      <w:r>
        <w:rPr/>
        <w:drawing>
          <wp:inline distT="0" distB="0" distL="0" distR="0">
            <wp:extent cx="278130" cy="285115"/>
            <wp:effectExtent l="0" t="0" r="0" b="0"/>
            <wp:docPr id="102" name="Рисунок 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Рисунок 110" descr=""/>
                    <pic:cNvPicPr>
                      <a:picLocks noChangeAspect="1" noChangeArrowheads="1"/>
                    </pic:cNvPicPr>
                  </pic:nvPicPr>
                  <pic:blipFill>
                    <a:blip r:embed="rId113"/>
                    <a:stretch>
                      <a:fillRect/>
                    </a:stretch>
                  </pic:blipFill>
                  <pic:spPr bwMode="auto">
                    <a:xfrm>
                      <a:off x="0" y="0"/>
                      <a:ext cx="278130"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индекс потребительских цен для t-ого года срока действия контракта, принимаемый в соответствии с публикуемыми Минэкономразвития России прогнозами социально-экономического развития Российской Федерации (если срок действия контракта превышает срок прогноза, индекс потребительских цен для каждого года срока действия контракта, не указанного в прогнозе, принимается равным индексу потребительских цен, указанному для последнего года прогноза);</w:t>
      </w:r>
    </w:p>
    <w:p>
      <w:pPr>
        <w:pStyle w:val="ConsPlusNormal"/>
        <w:spacing w:before="0" w:after="0"/>
        <w:ind w:left="0" w:right="0" w:firstLine="709"/>
        <w:jc w:val="both"/>
        <w:rPr/>
      </w:pPr>
      <w:r>
        <w:rPr>
          <w:sz w:val="28"/>
          <w:szCs w:val="28"/>
        </w:rPr>
        <w:t xml:space="preserve">ЗПР </w:t>
      </w:r>
      <w:r>
        <w:rPr>
          <w:rFonts w:eastAsia="" w:cs="Times New Roman" w:eastAsiaTheme="minorEastAsia"/>
          <w:color w:val="auto"/>
          <w:kern w:val="0"/>
          <w:sz w:val="28"/>
          <w:szCs w:val="28"/>
          <w:lang w:val="ru-RU" w:eastAsia="ru-RU" w:bidi="ar-SA"/>
        </w:rPr>
        <w:t>−</w:t>
      </w:r>
      <w:r>
        <w:rPr>
          <w:sz w:val="28"/>
          <w:szCs w:val="28"/>
        </w:rPr>
        <w:t xml:space="preserve"> определенная в соответствии с </w:t>
      </w:r>
      <w:hyperlink w:anchor="Par393" w:tgtFrame="12. Расчетная месячная оплата труда ремонтного рабочего (ЗПР) устанавливается на уровне не менее, чем определенном в соответствии с заключенным на территории соответствующего субъекта Российской Федерации, либо муниципального образования региональным, либо тер">
        <w:r>
          <w:rPr>
            <w:sz w:val="28"/>
            <w:szCs w:val="28"/>
          </w:rPr>
          <w:t>пунктом 12</w:t>
        </w:r>
      </w:hyperlink>
      <w:r>
        <w:rPr>
          <w:sz w:val="28"/>
          <w:szCs w:val="28"/>
        </w:rPr>
        <w:t xml:space="preserve"> настоящего приложения средняя месячная оплата труда ремонтного рабочего, руб./мес.;</w:t>
      </w:r>
    </w:p>
    <w:p>
      <w:pPr>
        <w:pStyle w:val="ConsPlusNormal"/>
        <w:spacing w:before="0" w:after="0"/>
        <w:ind w:left="0" w:right="0" w:firstLine="709"/>
        <w:jc w:val="both"/>
        <w:rPr/>
      </w:pPr>
      <w:r>
        <w:rPr/>
        <w:drawing>
          <wp:inline distT="0" distB="0" distL="0" distR="0">
            <wp:extent cx="226695" cy="278130"/>
            <wp:effectExtent l="0" t="0" r="0" b="0"/>
            <wp:docPr id="103" name="Рисунок 1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Рисунок 111" descr=""/>
                    <pic:cNvPicPr>
                      <a:picLocks noChangeAspect="1" noChangeArrowheads="1"/>
                    </pic:cNvPicPr>
                  </pic:nvPicPr>
                  <pic:blipFill>
                    <a:blip r:embed="rId114"/>
                    <a:stretch>
                      <a:fillRect/>
                    </a:stretch>
                  </pic:blipFill>
                  <pic:spPr bwMode="auto">
                    <a:xfrm>
                      <a:off x="0" y="0"/>
                      <a:ext cx="22669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базовая удельная трудоемкость технического обслуживания транспортных средств i-го класса, час./1000 км (для автобусов особо малого класса принимаются равной не менее 5,9, для автобусов малого класса </w:t>
      </w:r>
      <w:r>
        <w:rPr>
          <w:rFonts w:eastAsia="" w:cs="Times New Roman" w:eastAsiaTheme="minorEastAsia"/>
          <w:color w:val="auto"/>
          <w:kern w:val="0"/>
          <w:sz w:val="28"/>
          <w:szCs w:val="28"/>
          <w:lang w:val="ru-RU" w:eastAsia="ru-RU" w:bidi="ar-SA"/>
        </w:rPr>
        <w:t>−</w:t>
      </w:r>
      <w:r>
        <w:rPr>
          <w:sz w:val="28"/>
          <w:szCs w:val="28"/>
        </w:rPr>
        <w:t xml:space="preserve"> не менее 8,0, для автобусов среднего класса </w:t>
      </w:r>
      <w:r>
        <w:rPr>
          <w:rFonts w:eastAsia="" w:cs="Times New Roman" w:eastAsiaTheme="minorEastAsia"/>
          <w:color w:val="auto"/>
          <w:kern w:val="0"/>
          <w:sz w:val="28"/>
          <w:szCs w:val="28"/>
          <w:lang w:val="ru-RU" w:eastAsia="ru-RU" w:bidi="ar-SA"/>
        </w:rPr>
        <w:t>−</w:t>
      </w:r>
      <w:r>
        <w:rPr>
          <w:sz w:val="28"/>
          <w:szCs w:val="28"/>
        </w:rPr>
        <w:t xml:space="preserve"> не менее 9,3, для автобусов большого класса </w:t>
      </w:r>
      <w:r>
        <w:rPr>
          <w:rFonts w:eastAsia="" w:cs="Times New Roman" w:eastAsiaTheme="minorEastAsia"/>
          <w:color w:val="auto"/>
          <w:kern w:val="0"/>
          <w:sz w:val="28"/>
          <w:szCs w:val="28"/>
          <w:lang w:val="ru-RU" w:eastAsia="ru-RU" w:bidi="ar-SA"/>
        </w:rPr>
        <w:t>−</w:t>
      </w:r>
      <w:r>
        <w:rPr>
          <w:sz w:val="28"/>
          <w:szCs w:val="28"/>
        </w:rPr>
        <w:t xml:space="preserve"> не менее 13,3, для автобусов особо большого класса </w:t>
      </w:r>
      <w:r>
        <w:rPr>
          <w:rFonts w:eastAsia="" w:cs="Times New Roman" w:eastAsiaTheme="minorEastAsia"/>
          <w:color w:val="auto"/>
          <w:kern w:val="0"/>
          <w:sz w:val="28"/>
          <w:szCs w:val="28"/>
          <w:lang w:val="ru-RU" w:eastAsia="ru-RU" w:bidi="ar-SA"/>
        </w:rPr>
        <w:t>−</w:t>
      </w:r>
      <w:r>
        <w:rPr>
          <w:sz w:val="28"/>
          <w:szCs w:val="28"/>
        </w:rPr>
        <w:t xml:space="preserve"> не менее 19,1);</w:t>
      </w:r>
    </w:p>
    <w:p>
      <w:pPr>
        <w:pStyle w:val="ConsPlusNormal"/>
        <w:spacing w:before="0" w:after="0"/>
        <w:ind w:left="0" w:right="0" w:firstLine="709"/>
        <w:jc w:val="both"/>
        <w:rPr/>
      </w:pPr>
      <w:r>
        <w:rPr>
          <w:sz w:val="28"/>
          <w:szCs w:val="28"/>
        </w:rPr>
        <w:t>К</w:t>
      </w:r>
      <w:r>
        <w:rPr>
          <w:sz w:val="28"/>
          <w:szCs w:val="28"/>
          <w:vertAlign w:val="subscript"/>
        </w:rPr>
        <w:t>то</w:t>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коэффициент корректировки базовой удельной трудоемкости технического обслуживания транспортных средств в зависимости от природно-климатических условий (принимается в соответствии с </w:t>
      </w:r>
      <w:hyperlink w:anchor="Par404" w:tgtFrame="Коэффициенты корректировки в зависимости">
        <w:r>
          <w:rPr>
            <w:sz w:val="28"/>
            <w:szCs w:val="28"/>
          </w:rPr>
          <w:t>таблицей 2</w:t>
        </w:r>
      </w:hyperlink>
      <w:r>
        <w:rPr>
          <w:sz w:val="28"/>
          <w:szCs w:val="28"/>
        </w:rPr>
        <w:t>);</w:t>
      </w:r>
    </w:p>
    <w:p>
      <w:pPr>
        <w:pStyle w:val="ConsPlusNormal"/>
        <w:spacing w:before="0" w:after="0"/>
        <w:ind w:left="0" w:right="0" w:firstLine="709"/>
        <w:jc w:val="both"/>
        <w:rPr/>
      </w:pPr>
      <w:r>
        <w:rPr/>
        <w:drawing>
          <wp:inline distT="0" distB="0" distL="0" distR="0">
            <wp:extent cx="263525" cy="285115"/>
            <wp:effectExtent l="0" t="0" r="0" b="0"/>
            <wp:docPr id="104" name="Рисунок 1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Рисунок 113" descr=""/>
                    <pic:cNvPicPr>
                      <a:picLocks noChangeAspect="1" noChangeArrowheads="1"/>
                    </pic:cNvPicPr>
                  </pic:nvPicPr>
                  <pic:blipFill>
                    <a:blip r:embed="rId115"/>
                    <a:stretch>
                      <a:fillRect/>
                    </a:stretch>
                  </pic:blipFill>
                  <pic:spPr bwMode="auto">
                    <a:xfrm>
                      <a:off x="0" y="0"/>
                      <a:ext cx="263525"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базовая удельная трудоемкость текущего ремонта транспортных средств i-го класса, час./1000 км (для автобусов особо малого класса принимаются равной не менее 5,4, для автобусов малого класса </w:t>
      </w:r>
      <w:r>
        <w:rPr>
          <w:rFonts w:eastAsia="" w:cs="Times New Roman" w:eastAsiaTheme="minorEastAsia"/>
          <w:color w:val="auto"/>
          <w:kern w:val="0"/>
          <w:sz w:val="28"/>
          <w:szCs w:val="28"/>
          <w:lang w:val="ru-RU" w:eastAsia="ru-RU" w:bidi="ar-SA"/>
        </w:rPr>
        <w:t>−</w:t>
      </w:r>
      <w:r>
        <w:rPr>
          <w:sz w:val="28"/>
          <w:szCs w:val="28"/>
        </w:rPr>
        <w:t xml:space="preserve"> не менее 6,4, для автобусов среднего класса </w:t>
      </w:r>
      <w:r>
        <w:rPr>
          <w:rFonts w:eastAsia="" w:cs="Times New Roman" w:eastAsiaTheme="minorEastAsia"/>
          <w:color w:val="auto"/>
          <w:kern w:val="0"/>
          <w:sz w:val="28"/>
          <w:szCs w:val="28"/>
          <w:lang w:val="ru-RU" w:eastAsia="ru-RU" w:bidi="ar-SA"/>
        </w:rPr>
        <w:t>−</w:t>
      </w:r>
      <w:r>
        <w:rPr>
          <w:sz w:val="28"/>
          <w:szCs w:val="28"/>
        </w:rPr>
        <w:t xml:space="preserve"> не менее 7,8, для автобусов большого класса </w:t>
      </w:r>
      <w:r>
        <w:rPr>
          <w:rFonts w:eastAsia="" w:cs="Times New Roman" w:eastAsiaTheme="minorEastAsia"/>
          <w:color w:val="auto"/>
          <w:kern w:val="0"/>
          <w:sz w:val="28"/>
          <w:szCs w:val="28"/>
          <w:lang w:val="ru-RU" w:eastAsia="ru-RU" w:bidi="ar-SA"/>
        </w:rPr>
        <w:t>−</w:t>
      </w:r>
      <w:r>
        <w:rPr>
          <w:sz w:val="28"/>
          <w:szCs w:val="28"/>
        </w:rPr>
        <w:t xml:space="preserve"> не менее 10,2, для автобусов особо большого класса </w:t>
      </w:r>
      <w:r>
        <w:rPr>
          <w:rFonts w:eastAsia="" w:cs="Times New Roman" w:eastAsiaTheme="minorEastAsia"/>
          <w:color w:val="auto"/>
          <w:kern w:val="0"/>
          <w:sz w:val="28"/>
          <w:szCs w:val="28"/>
          <w:lang w:val="ru-RU" w:eastAsia="ru-RU" w:bidi="ar-SA"/>
        </w:rPr>
        <w:t>−</w:t>
      </w:r>
      <w:r>
        <w:rPr>
          <w:sz w:val="28"/>
          <w:szCs w:val="28"/>
        </w:rPr>
        <w:t xml:space="preserve"> не менее 13,2);</w:t>
      </w:r>
    </w:p>
    <w:p>
      <w:pPr>
        <w:pStyle w:val="ConsPlusNormal"/>
        <w:spacing w:before="0" w:after="0"/>
        <w:ind w:left="0" w:right="0" w:firstLine="709"/>
        <w:jc w:val="both"/>
        <w:rPr/>
      </w:pPr>
      <w:r>
        <w:rPr>
          <w:sz w:val="28"/>
          <w:szCs w:val="28"/>
        </w:rPr>
        <w:t>К</w:t>
      </w:r>
      <w:r>
        <w:rPr>
          <w:sz w:val="28"/>
          <w:szCs w:val="28"/>
          <w:vertAlign w:val="subscript"/>
        </w:rPr>
        <w:t>кр</w:t>
      </w:r>
      <w:r>
        <w:rPr>
          <w:sz w:val="28"/>
          <w:szCs w:val="28"/>
        </w:rPr>
        <w:t xml:space="preserve"> - коэффициент корректировки базовой удельной трудоемкости текущего ремонта транспортных средств в зависимости от природно-климатических условий (принимается в соответствии с </w:t>
      </w:r>
      <w:hyperlink w:anchor="Par404" w:tgtFrame="Коэффициенты корректировки в зависимости">
        <w:r>
          <w:rPr>
            <w:sz w:val="28"/>
            <w:szCs w:val="28"/>
          </w:rPr>
          <w:t>таблицей 2</w:t>
        </w:r>
      </w:hyperlink>
      <w:r>
        <w:rPr>
          <w:sz w:val="28"/>
          <w:szCs w:val="28"/>
        </w:rPr>
        <w:t>);</w:t>
      </w:r>
    </w:p>
    <w:p>
      <w:pPr>
        <w:pStyle w:val="ConsPlusNormal"/>
        <w:spacing w:before="0" w:after="0"/>
        <w:ind w:left="0" w:right="0" w:firstLine="709"/>
        <w:jc w:val="both"/>
        <w:rPr/>
      </w:pPr>
      <w:r>
        <w:rPr/>
        <w:drawing>
          <wp:inline distT="0" distB="0" distL="0" distR="0">
            <wp:extent cx="541020" cy="285115"/>
            <wp:effectExtent l="0" t="0" r="0" b="0"/>
            <wp:docPr id="105" name="Рисунок 1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Рисунок 115" descr=""/>
                    <pic:cNvPicPr>
                      <a:picLocks noChangeAspect="1" noChangeArrowheads="1"/>
                    </pic:cNvPicPr>
                  </pic:nvPicPr>
                  <pic:blipFill>
                    <a:blip r:embed="rId116"/>
                    <a:stretch>
                      <a:fillRect/>
                    </a:stretch>
                  </pic:blipFill>
                  <pic:spPr bwMode="auto">
                    <a:xfrm>
                      <a:off x="0" y="0"/>
                      <a:ext cx="541020"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годовой фонд рабочего времени ремонтного рабочего при соблюдении нормальной, 40-часовой, продолжительности рабочего времени</w:t>
        <w:br/>
        <w:t>в неделю (принимается равным 1812 часов);</w:t>
      </w:r>
    </w:p>
    <w:p>
      <w:pPr>
        <w:pStyle w:val="ConsPlusNormal"/>
        <w:spacing w:before="0" w:after="0"/>
        <w:ind w:left="0" w:right="0" w:firstLine="709"/>
        <w:jc w:val="both"/>
        <w:rPr/>
      </w:pPr>
      <w:r>
        <w:rPr/>
        <w:drawing>
          <wp:inline distT="0" distB="0" distL="0" distR="0">
            <wp:extent cx="314325" cy="278130"/>
            <wp:effectExtent l="0" t="0" r="0" b="0"/>
            <wp:docPr id="106" name="Рисунок 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Рисунок 116" descr=""/>
                    <pic:cNvPicPr>
                      <a:picLocks noChangeAspect="1" noChangeArrowheads="1"/>
                    </pic:cNvPicPr>
                  </pic:nvPicPr>
                  <pic:blipFill>
                    <a:blip r:embed="rId117"/>
                    <a:stretch>
                      <a:fillRect/>
                    </a:stretch>
                  </pic:blipFill>
                  <pic:spPr bwMode="auto">
                    <a:xfrm>
                      <a:off x="0" y="0"/>
                      <a:ext cx="31432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суммарный тариф отчислений на социальные нужды и обязательное социальное страхование от несчастных случаев на производстве</w:t>
        <w:br/>
        <w:t>и профессиональных заболеваний от расходов на оплату труда, определяемый</w:t>
        <w:br/>
        <w:t>в соответствии с законодательством Российской Федерации, %.</w:t>
      </w:r>
    </w:p>
    <w:p>
      <w:pPr>
        <w:pStyle w:val="ConsPlusNormal"/>
        <w:spacing w:before="0" w:after="0"/>
        <w:ind w:left="0" w:right="0" w:firstLine="709"/>
        <w:jc w:val="both"/>
        <w:rPr/>
      </w:pPr>
      <w:bookmarkStart w:id="18" w:name="Par393"/>
      <w:bookmarkEnd w:id="18"/>
      <w:r>
        <w:rPr>
          <w:sz w:val="28"/>
          <w:szCs w:val="28"/>
        </w:rPr>
        <w:t xml:space="preserve">12. Средняя месячная оплата труда ремонтного рабочего (ЗПР) (с учетом всех видов премий, надбавок и компенсаций) устанавливается на уровне не менее, чем определенном в соответствии с заключенным на территории соответствующего субъекта Российской Федерации, либо муниципального образования региональным, либо территориальным отраслевым соглашением в рамках реализации </w:t>
      </w:r>
      <w:hyperlink r:id="rId118">
        <w:r>
          <w:rPr>
            <w:sz w:val="28"/>
            <w:szCs w:val="28"/>
          </w:rPr>
          <w:t>статей 45</w:t>
        </w:r>
      </w:hyperlink>
      <w:r>
        <w:rPr>
          <w:sz w:val="28"/>
          <w:szCs w:val="28"/>
        </w:rPr>
        <w:t xml:space="preserve"> и </w:t>
      </w:r>
      <w:hyperlink r:id="rId119">
        <w:r>
          <w:rPr>
            <w:sz w:val="28"/>
            <w:szCs w:val="28"/>
          </w:rPr>
          <w:t>48</w:t>
        </w:r>
      </w:hyperlink>
      <w:r>
        <w:rPr>
          <w:sz w:val="28"/>
          <w:szCs w:val="28"/>
        </w:rPr>
        <w:t xml:space="preserve"> Трудового кодекса Российской Федерации, при отсутствии таких соглашений – на уровне не менее, чем определенном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 При отсутствии на территории соответствующего субъекта Российской Федерации либо муниципального образования регионального либо территориального отраслевого соглашения, заключенного в рамках реализации </w:t>
      </w:r>
      <w:hyperlink r:id="rId120">
        <w:r>
          <w:rPr>
            <w:sz w:val="28"/>
            <w:szCs w:val="28"/>
          </w:rPr>
          <w:t>статей 45</w:t>
        </w:r>
      </w:hyperlink>
      <w:r>
        <w:rPr>
          <w:sz w:val="28"/>
          <w:szCs w:val="28"/>
        </w:rPr>
        <w:t xml:space="preserve"> и </w:t>
      </w:r>
      <w:hyperlink r:id="rId121">
        <w:r>
          <w:rPr>
            <w:sz w:val="28"/>
            <w:szCs w:val="28"/>
          </w:rPr>
          <w:t>48</w:t>
        </w:r>
      </w:hyperlink>
      <w:r>
        <w:rPr>
          <w:sz w:val="28"/>
          <w:szCs w:val="28"/>
        </w:rPr>
        <w:t xml:space="preserve">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 средняя месячная оплата труда ремонтного рабочего (с учетом всех видов премий, надбавок и компенсаций) выбирается наибольшая из определенной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 либо определяется по формуле (12).</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2787015" cy="278130"/>
            <wp:effectExtent l="0" t="0" r="0" b="0"/>
            <wp:docPr id="107" name="Рисунок 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Рисунок 117" descr=""/>
                    <pic:cNvPicPr>
                      <a:picLocks noChangeAspect="1" noChangeArrowheads="1"/>
                    </pic:cNvPicPr>
                  </pic:nvPicPr>
                  <pic:blipFill>
                    <a:blip r:embed="rId122"/>
                    <a:stretch>
                      <a:fillRect/>
                    </a:stretch>
                  </pic:blipFill>
                  <pic:spPr bwMode="auto">
                    <a:xfrm>
                      <a:off x="0" y="0"/>
                      <a:ext cx="2787015" cy="278130"/>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409575" cy="219710"/>
            <wp:effectExtent l="0" t="0" r="0" b="0"/>
            <wp:docPr id="108" name="Рисунок 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Рисунок 118" descr=""/>
                    <pic:cNvPicPr>
                      <a:picLocks noChangeAspect="1" noChangeArrowheads="1"/>
                    </pic:cNvPicPr>
                  </pic:nvPicPr>
                  <pic:blipFill>
                    <a:blip r:embed="rId123"/>
                    <a:stretch>
                      <a:fillRect/>
                    </a:stretch>
                  </pic:blipFill>
                  <pic:spPr bwMode="auto">
                    <a:xfrm>
                      <a:off x="0" y="0"/>
                      <a:ext cx="409575" cy="21971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(для муниципальных маршрутов в границах поселения,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административно-территориальных единиц субъекта Российской Федерации, для муниципальных маршрутов в границах субъектов Российской Федерации - городов федерального значения Москвы, Санкт-Петербурга или Севастополя в соответствии с данными Росстата в отношении указанных субъектов Российской Федерации, для межмуниципальных маршрутов в границах субъекта Российской Федерации - в соответствии с данными Росстата в отношении этого субъекта Российской Федерации, для смежных межрегиональных маршрутов в сообщении с субъектами Российской Федерации - городами федерального значения Москвой, Санкт-Петербургом или Севастополем - в соответствии с данными Росстата в отношении этих субъектов Российской Федерации), руб.;</w:t>
      </w:r>
    </w:p>
    <w:p>
      <w:pPr>
        <w:pStyle w:val="ConsPlusNormal"/>
        <w:spacing w:before="0" w:after="0"/>
        <w:ind w:left="0" w:right="0" w:firstLine="709"/>
        <w:jc w:val="both"/>
        <w:rPr/>
      </w:pPr>
      <w:r>
        <w:rPr/>
        <w:drawing>
          <wp:inline distT="0" distB="0" distL="0" distR="0">
            <wp:extent cx="336550" cy="278130"/>
            <wp:effectExtent l="0" t="0" r="0" b="0"/>
            <wp:docPr id="109" name="Рисунок 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Рисунок 119" descr=""/>
                    <pic:cNvPicPr>
                      <a:picLocks noChangeAspect="1" noChangeArrowheads="1"/>
                    </pic:cNvPicPr>
                  </pic:nvPicPr>
                  <pic:blipFill>
                    <a:blip r:embed="rId124"/>
                    <a:stretch>
                      <a:fillRect/>
                    </a:stretch>
                  </pic:blipFill>
                  <pic:spPr bwMode="auto">
                    <a:xfrm>
                      <a:off x="0" y="0"/>
                      <a:ext cx="33655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коэффициент, учитывающий дифференциацию в оплате труда ремонтных рабочих в зависимости от вида маршрутов (принимается в соответствии с </w:t>
      </w:r>
      <w:hyperlink w:anchor="Par198" w:tgtFrame="Коэффициенты, учитывающие дифференциацию заработных плат">
        <w:r>
          <w:rPr>
            <w:sz w:val="28"/>
            <w:szCs w:val="28"/>
          </w:rPr>
          <w:t>таблицей 1</w:t>
        </w:r>
      </w:hyperlink>
      <w:r>
        <w:rPr>
          <w:sz w:val="28"/>
          <w:szCs w:val="28"/>
        </w:rPr>
        <w:t>);</w:t>
      </w:r>
    </w:p>
    <w:p>
      <w:pPr>
        <w:pStyle w:val="ConsPlusNormal"/>
        <w:spacing w:before="0" w:after="0"/>
        <w:ind w:left="0" w:right="0" w:firstLine="709"/>
        <w:jc w:val="both"/>
        <w:rPr/>
      </w:pPr>
      <w:r>
        <w:rPr/>
        <w:drawing>
          <wp:inline distT="0" distB="0" distL="0" distR="0">
            <wp:extent cx="314325" cy="278130"/>
            <wp:effectExtent l="0" t="0" r="0" b="0"/>
            <wp:docPr id="110" name="Рисунок 1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Рисунок 120" descr=""/>
                    <pic:cNvPicPr>
                      <a:picLocks noChangeAspect="1" noChangeArrowheads="1"/>
                    </pic:cNvPicPr>
                  </pic:nvPicPr>
                  <pic:blipFill>
                    <a:blip r:embed="rId125"/>
                    <a:stretch>
                      <a:fillRect/>
                    </a:stretch>
                  </pic:blipFill>
                  <pic:spPr bwMode="auto">
                    <a:xfrm>
                      <a:off x="0" y="0"/>
                      <a:ext cx="31432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коэффициент, учитывающий особенности рынка труда в городах с численностью населения свыше миллиона человек (для г. Москвы принимается равным не менее 0,45, для Санкт-Петербурга </w:t>
      </w:r>
      <w:r>
        <w:rPr>
          <w:rFonts w:eastAsia="" w:cs="Times New Roman" w:eastAsiaTheme="minorEastAsia"/>
          <w:color w:val="auto"/>
          <w:kern w:val="0"/>
          <w:sz w:val="28"/>
          <w:szCs w:val="28"/>
          <w:lang w:val="ru-RU" w:eastAsia="ru-RU" w:bidi="ar-SA"/>
        </w:rPr>
        <w:t>−</w:t>
      </w:r>
      <w:r>
        <w:rPr>
          <w:sz w:val="28"/>
          <w:szCs w:val="28"/>
        </w:rPr>
        <w:t xml:space="preserve"> не менее 0,7, для других городов</w:t>
        <w:br/>
        <w:t xml:space="preserve">с численностью населения свыше миллиона человек </w:t>
      </w:r>
      <w:r>
        <w:rPr>
          <w:rFonts w:eastAsia="" w:cs="Times New Roman" w:eastAsiaTheme="minorEastAsia"/>
          <w:color w:val="auto"/>
          <w:kern w:val="0"/>
          <w:sz w:val="28"/>
          <w:szCs w:val="28"/>
          <w:lang w:val="ru-RU" w:eastAsia="ru-RU" w:bidi="ar-SA"/>
        </w:rPr>
        <w:t>−</w:t>
      </w:r>
      <w:r>
        <w:rPr>
          <w:sz w:val="28"/>
          <w:szCs w:val="28"/>
        </w:rPr>
        <w:t xml:space="preserve"> не менее 0,8, для прочих муниципальных образований </w:t>
      </w:r>
      <w:r>
        <w:rPr>
          <w:rFonts w:eastAsia="" w:cs="Times New Roman" w:eastAsiaTheme="minorEastAsia"/>
          <w:color w:val="auto"/>
          <w:kern w:val="0"/>
          <w:sz w:val="28"/>
          <w:szCs w:val="28"/>
          <w:lang w:val="ru-RU" w:eastAsia="ru-RU" w:bidi="ar-SA"/>
        </w:rPr>
        <w:t>−</w:t>
      </w:r>
      <w:r>
        <w:rPr>
          <w:sz w:val="28"/>
          <w:szCs w:val="28"/>
        </w:rPr>
        <w:t xml:space="preserve"> 1,0).</w:t>
      </w:r>
    </w:p>
    <w:p>
      <w:pPr>
        <w:pStyle w:val="ConsPlusNormal"/>
        <w:spacing w:before="0" w:after="0"/>
        <w:ind w:left="0" w:right="0" w:firstLine="709"/>
        <w:jc w:val="both"/>
        <w:rPr>
          <w:sz w:val="28"/>
          <w:szCs w:val="28"/>
        </w:rPr>
      </w:pPr>
      <w:r>
        <w:rPr/>
      </w:r>
    </w:p>
    <w:p>
      <w:pPr>
        <w:pStyle w:val="ConsPlusNormal"/>
        <w:numPr>
          <w:ilvl w:val="0"/>
          <w:numId w:val="0"/>
        </w:numPr>
        <w:spacing w:before="0" w:after="0"/>
        <w:ind w:left="0" w:right="0" w:firstLine="709"/>
        <w:jc w:val="right"/>
        <w:outlineLvl w:val="2"/>
        <w:rPr/>
      </w:pPr>
      <w:r>
        <w:rPr>
          <w:sz w:val="28"/>
          <w:szCs w:val="28"/>
        </w:rPr>
        <w:t>Таблица 2</w:t>
      </w:r>
    </w:p>
    <w:p>
      <w:pPr>
        <w:pStyle w:val="ConsPlusNormal"/>
        <w:spacing w:before="0" w:after="0"/>
        <w:ind w:left="0" w:right="0" w:firstLine="709"/>
        <w:jc w:val="both"/>
        <w:rPr>
          <w:sz w:val="28"/>
          <w:szCs w:val="28"/>
        </w:rPr>
      </w:pPr>
      <w:r>
        <w:rPr>
          <w:sz w:val="28"/>
          <w:szCs w:val="28"/>
        </w:rPr>
      </w:r>
    </w:p>
    <w:p>
      <w:pPr>
        <w:pStyle w:val="ConsPlusTitle"/>
        <w:spacing w:before="0" w:after="0"/>
        <w:ind w:left="0" w:right="0" w:firstLine="709"/>
        <w:jc w:val="center"/>
        <w:rPr/>
      </w:pPr>
      <w:bookmarkStart w:id="19" w:name="Par404"/>
      <w:bookmarkEnd w:id="19"/>
      <w:r>
        <w:rPr>
          <w:rFonts w:cs="Times New Roman" w:ascii="Times New Roman" w:hAnsi="Times New Roman"/>
          <w:sz w:val="28"/>
          <w:szCs w:val="28"/>
        </w:rPr>
        <w:t>Коэффициенты корректировки в зависимости</w:t>
      </w:r>
    </w:p>
    <w:p>
      <w:pPr>
        <w:pStyle w:val="ConsPlusTitle"/>
        <w:spacing w:before="0" w:after="0"/>
        <w:ind w:left="0" w:right="0" w:firstLine="709"/>
        <w:jc w:val="center"/>
        <w:rPr/>
      </w:pPr>
      <w:r>
        <w:rPr>
          <w:rFonts w:cs="Times New Roman" w:ascii="Times New Roman" w:hAnsi="Times New Roman"/>
          <w:sz w:val="28"/>
          <w:szCs w:val="28"/>
        </w:rPr>
        <w:t>от природно-климатических условий базовых удельных</w:t>
      </w:r>
    </w:p>
    <w:p>
      <w:pPr>
        <w:pStyle w:val="ConsPlusTitle"/>
        <w:spacing w:before="0" w:after="0"/>
        <w:ind w:left="0" w:right="0" w:firstLine="709"/>
        <w:jc w:val="center"/>
        <w:rPr/>
      </w:pPr>
      <w:r>
        <w:rPr>
          <w:rFonts w:cs="Times New Roman" w:ascii="Times New Roman" w:hAnsi="Times New Roman"/>
          <w:sz w:val="28"/>
          <w:szCs w:val="28"/>
        </w:rPr>
        <w:t>трудоемкостей технического обслуживания и текущего ремонта</w:t>
      </w:r>
    </w:p>
    <w:p>
      <w:pPr>
        <w:pStyle w:val="ConsPlusTitle"/>
        <w:spacing w:before="0" w:after="0"/>
        <w:ind w:left="0" w:right="0" w:firstLine="709"/>
        <w:jc w:val="center"/>
        <w:rPr/>
      </w:pPr>
      <w:r>
        <w:rPr>
          <w:rFonts w:cs="Times New Roman" w:ascii="Times New Roman" w:hAnsi="Times New Roman"/>
          <w:sz w:val="28"/>
          <w:szCs w:val="28"/>
        </w:rPr>
        <w:t>транспортных средств, а также базовых удельных расходов</w:t>
      </w:r>
    </w:p>
    <w:p>
      <w:pPr>
        <w:pStyle w:val="ConsPlusTitle"/>
        <w:spacing w:before="0" w:after="0"/>
        <w:ind w:left="0" w:right="0" w:firstLine="709"/>
        <w:jc w:val="center"/>
        <w:rPr/>
      </w:pPr>
      <w:r>
        <w:rPr>
          <w:rFonts w:cs="Times New Roman" w:ascii="Times New Roman" w:hAnsi="Times New Roman"/>
          <w:sz w:val="28"/>
          <w:szCs w:val="28"/>
        </w:rPr>
        <w:t>на запасные части и материалы (</w:t>
      </w:r>
      <w:r>
        <w:rPr>
          <w:rFonts w:cs="Times New Roman" w:ascii="Times New Roman" w:hAnsi="Times New Roman"/>
          <w:b w:val="false"/>
          <w:i/>
          <w:sz w:val="28"/>
          <w:szCs w:val="28"/>
        </w:rPr>
        <w:t>К</w:t>
      </w:r>
      <w:r>
        <w:rPr>
          <w:rFonts w:cs="Times New Roman" w:ascii="Times New Roman" w:hAnsi="Times New Roman"/>
          <w:i/>
          <w:sz w:val="28"/>
          <w:szCs w:val="28"/>
          <w:vertAlign w:val="subscript"/>
        </w:rPr>
        <w:t>ТО</w:t>
      </w:r>
      <w:r>
        <w:rPr>
          <w:rFonts w:cs="Times New Roman" w:ascii="Times New Roman" w:hAnsi="Times New Roman"/>
          <w:i/>
          <w:sz w:val="28"/>
          <w:szCs w:val="28"/>
        </w:rPr>
        <w:t xml:space="preserve">, </w:t>
      </w:r>
      <w:r>
        <w:rPr>
          <w:rFonts w:cs="Times New Roman" w:ascii="Times New Roman" w:hAnsi="Times New Roman"/>
          <w:b w:val="false"/>
          <w:i/>
          <w:sz w:val="28"/>
          <w:szCs w:val="28"/>
        </w:rPr>
        <w:t>К</w:t>
      </w:r>
      <w:r>
        <w:rPr>
          <w:rFonts w:cs="Times New Roman" w:ascii="Times New Roman" w:hAnsi="Times New Roman"/>
          <w:b w:val="false"/>
          <w:i/>
          <w:sz w:val="28"/>
          <w:szCs w:val="28"/>
          <w:vertAlign w:val="subscript"/>
        </w:rPr>
        <w:t>КР</w:t>
      </w:r>
      <w:r>
        <w:rPr>
          <w:rFonts w:cs="Times New Roman" w:ascii="Times New Roman" w:hAnsi="Times New Roman"/>
          <w:i/>
          <w:sz w:val="28"/>
          <w:szCs w:val="28"/>
        </w:rPr>
        <w:t xml:space="preserve">, </w:t>
      </w:r>
      <w:r>
        <w:rPr>
          <w:rFonts w:cs="Times New Roman" w:ascii="Times New Roman" w:hAnsi="Times New Roman"/>
          <w:b w:val="false"/>
          <w:i/>
          <w:sz w:val="28"/>
          <w:szCs w:val="28"/>
        </w:rPr>
        <w:t>К</w:t>
      </w:r>
      <w:r>
        <w:rPr>
          <w:rFonts w:cs="Times New Roman" w:ascii="Times New Roman" w:hAnsi="Times New Roman"/>
          <w:b w:val="false"/>
          <w:i/>
          <w:sz w:val="28"/>
          <w:szCs w:val="28"/>
          <w:vertAlign w:val="subscript"/>
        </w:rPr>
        <w:t>ЗЧ</w:t>
      </w:r>
      <w:r>
        <w:rPr>
          <w:rFonts w:cs="Times New Roman" w:ascii="Times New Roman" w:hAnsi="Times New Roman"/>
          <w:sz w:val="28"/>
          <w:szCs w:val="28"/>
        </w:rPr>
        <w:t>)</w:t>
      </w:r>
    </w:p>
    <w:p>
      <w:pPr>
        <w:pStyle w:val="ConsPlusNormal"/>
        <w:spacing w:before="0" w:after="0"/>
        <w:ind w:left="0" w:right="0" w:firstLine="709"/>
        <w:jc w:val="both"/>
        <w:rPr>
          <w:sz w:val="28"/>
          <w:szCs w:val="28"/>
        </w:rPr>
      </w:pPr>
      <w:r>
        <w:rPr>
          <w:sz w:val="28"/>
          <w:szCs w:val="28"/>
        </w:rPr>
      </w:r>
    </w:p>
    <w:tbl>
      <w:tblPr>
        <w:tblW w:w="9026" w:type="dxa"/>
        <w:jc w:val="left"/>
        <w:tblInd w:w="62" w:type="dxa"/>
        <w:tblLayout w:type="fixed"/>
        <w:tblCellMar>
          <w:top w:w="102" w:type="dxa"/>
          <w:left w:w="62" w:type="dxa"/>
          <w:bottom w:w="102" w:type="dxa"/>
          <w:right w:w="62" w:type="dxa"/>
        </w:tblCellMar>
        <w:tblLook w:val="0000" w:noVBand="0" w:noHBand="0" w:lastColumn="0" w:firstColumn="0" w:lastRow="0" w:firstRow="0"/>
      </w:tblPr>
      <w:tblGrid>
        <w:gridCol w:w="6746"/>
        <w:gridCol w:w="760"/>
        <w:gridCol w:w="760"/>
        <w:gridCol w:w="759"/>
      </w:tblGrid>
      <w:tr>
        <w:trPr/>
        <w:tc>
          <w:tcPr>
            <w:tcW w:w="6746"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Субъект Российской Федерации</w:t>
            </w:r>
          </w:p>
        </w:tc>
        <w:tc>
          <w:tcPr>
            <w:tcW w:w="760"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vertAlign w:val="subscript"/>
              </w:rPr>
            </w:pPr>
            <w:r>
              <w:rPr>
                <w:sz w:val="28"/>
                <w:szCs w:val="28"/>
                <w:vertAlign w:val="subscript"/>
              </w:rPr>
            </w:r>
          </w:p>
          <w:p>
            <w:pPr>
              <w:pStyle w:val="ConsPlusNormal"/>
              <w:widowControl w:val="false"/>
              <w:suppressAutoHyphens w:val="true"/>
              <w:bidi w:val="0"/>
              <w:spacing w:before="0" w:after="0"/>
              <w:ind w:left="0" w:right="0" w:hanging="0"/>
              <w:jc w:val="center"/>
              <w:rPr>
                <w:sz w:val="28"/>
                <w:szCs w:val="28"/>
              </w:rPr>
            </w:pPr>
            <w:r>
              <w:rPr>
                <w:sz w:val="28"/>
                <w:szCs w:val="28"/>
              </w:rPr>
              <w:t>К</w:t>
            </w:r>
            <w:r>
              <w:rPr>
                <w:sz w:val="28"/>
                <w:szCs w:val="28"/>
                <w:vertAlign w:val="subscript"/>
              </w:rPr>
              <w:t>то</w:t>
            </w:r>
          </w:p>
        </w:tc>
        <w:tc>
          <w:tcPr>
            <w:tcW w:w="760"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vertAlign w:val="subscript"/>
              </w:rPr>
            </w:pPr>
            <w:r>
              <w:rPr>
                <w:sz w:val="28"/>
                <w:szCs w:val="28"/>
                <w:vertAlign w:val="subscript"/>
              </w:rPr>
            </w:r>
          </w:p>
          <w:p>
            <w:pPr>
              <w:pStyle w:val="ConsPlusNormal"/>
              <w:widowControl w:val="false"/>
              <w:suppressAutoHyphens w:val="true"/>
              <w:bidi w:val="0"/>
              <w:spacing w:before="0" w:after="0"/>
              <w:ind w:left="0" w:right="0" w:hanging="0"/>
              <w:jc w:val="center"/>
              <w:rPr>
                <w:sz w:val="28"/>
                <w:szCs w:val="28"/>
              </w:rPr>
            </w:pPr>
            <w:r>
              <w:rPr>
                <w:sz w:val="28"/>
                <w:szCs w:val="28"/>
              </w:rPr>
              <w:t>К</w:t>
            </w:r>
            <w:r>
              <w:rPr>
                <w:sz w:val="28"/>
                <w:szCs w:val="28"/>
                <w:vertAlign w:val="subscript"/>
              </w:rPr>
              <w:t>кр</w:t>
            </w:r>
          </w:p>
        </w:tc>
        <w:tc>
          <w:tcPr>
            <w:tcW w:w="75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К</w:t>
            </w:r>
            <w:r>
              <w:rPr>
                <w:sz w:val="28"/>
                <w:szCs w:val="28"/>
                <w:vertAlign w:val="subscript"/>
              </w:rPr>
              <w:t>ЗЧ</w:t>
            </w:r>
          </w:p>
        </w:tc>
      </w:tr>
      <w:tr>
        <w:trPr/>
        <w:tc>
          <w:tcPr>
            <w:tcW w:w="6746"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rPr>
                <w:sz w:val="28"/>
                <w:szCs w:val="28"/>
              </w:rPr>
            </w:pPr>
            <w:r>
              <w:rPr>
                <w:sz w:val="28"/>
                <w:szCs w:val="28"/>
              </w:rPr>
              <w:t>Республика Дагестан, Республика Северная Осетия - Алания, Чеченская Республика, Республика Ингушетия, Республика Крым, Кабардино-Балкарская Республика; Краснодарский и Ставропольский края; Калининградская и Ростовская области; город федерального значения Севастополь</w:t>
            </w:r>
          </w:p>
        </w:tc>
        <w:tc>
          <w:tcPr>
            <w:tcW w:w="760"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1,0</w:t>
            </w:r>
          </w:p>
        </w:tc>
        <w:tc>
          <w:tcPr>
            <w:tcW w:w="760"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0,9</w:t>
            </w:r>
          </w:p>
        </w:tc>
        <w:tc>
          <w:tcPr>
            <w:tcW w:w="75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0,9</w:t>
            </w:r>
          </w:p>
        </w:tc>
      </w:tr>
      <w:tr>
        <w:trPr/>
        <w:tc>
          <w:tcPr>
            <w:tcW w:w="6746"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rPr>
                <w:sz w:val="28"/>
                <w:szCs w:val="28"/>
              </w:rPr>
            </w:pPr>
            <w:r>
              <w:rPr>
                <w:sz w:val="28"/>
                <w:szCs w:val="28"/>
              </w:rPr>
              <w:t>Республика Башкортостан, Удмуртская Республика; Пермский край; Курганская, Свердловская, Челябинская области</w:t>
            </w:r>
          </w:p>
        </w:tc>
        <w:tc>
          <w:tcPr>
            <w:tcW w:w="760"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0,9</w:t>
            </w:r>
          </w:p>
        </w:tc>
        <w:tc>
          <w:tcPr>
            <w:tcW w:w="760"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1,1</w:t>
            </w:r>
          </w:p>
        </w:tc>
        <w:tc>
          <w:tcPr>
            <w:tcW w:w="75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1,1</w:t>
            </w:r>
          </w:p>
        </w:tc>
      </w:tr>
      <w:tr>
        <w:trPr/>
        <w:tc>
          <w:tcPr>
            <w:tcW w:w="6746"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rPr>
                <w:sz w:val="28"/>
                <w:szCs w:val="28"/>
              </w:rPr>
            </w:pPr>
            <w:r>
              <w:rPr>
                <w:sz w:val="28"/>
                <w:szCs w:val="28"/>
              </w:rPr>
              <w:t>Республика Алтай, Республика Бурятия, Республика Карелия, Республика Коми, Республика Тыва, Республика Хакасия; Алтайский, Забайкальский, Камчатский, Красноярский, Приморский и Хабаровский края; Амурская, Архангельская, Иркутская, Кемеровская, Мурманская, Новосибирская, Омская, Сахалинская, Томская, Тюменская области; Ненецкий автономный округ, Ханты-Мансийский автономный округ - Югра, Ямало-Ненецкий автономный округ</w:t>
            </w:r>
          </w:p>
        </w:tc>
        <w:tc>
          <w:tcPr>
            <w:tcW w:w="760"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0,9</w:t>
            </w:r>
          </w:p>
        </w:tc>
        <w:tc>
          <w:tcPr>
            <w:tcW w:w="760"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1,2</w:t>
            </w:r>
          </w:p>
        </w:tc>
        <w:tc>
          <w:tcPr>
            <w:tcW w:w="75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1,25</w:t>
            </w:r>
          </w:p>
        </w:tc>
      </w:tr>
      <w:tr>
        <w:trPr/>
        <w:tc>
          <w:tcPr>
            <w:tcW w:w="6746"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rPr>
                <w:sz w:val="28"/>
                <w:szCs w:val="28"/>
              </w:rPr>
            </w:pPr>
            <w:r>
              <w:rPr>
                <w:sz w:val="28"/>
                <w:szCs w:val="28"/>
              </w:rPr>
              <w:t>Республика Саха (Якутия), Магаданская область, Чукотский автономный округ</w:t>
            </w:r>
          </w:p>
        </w:tc>
        <w:tc>
          <w:tcPr>
            <w:tcW w:w="760"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0,8</w:t>
            </w:r>
          </w:p>
        </w:tc>
        <w:tc>
          <w:tcPr>
            <w:tcW w:w="760"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1,3</w:t>
            </w:r>
          </w:p>
        </w:tc>
        <w:tc>
          <w:tcPr>
            <w:tcW w:w="75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1,4</w:t>
            </w:r>
          </w:p>
        </w:tc>
      </w:tr>
      <w:tr>
        <w:trPr/>
        <w:tc>
          <w:tcPr>
            <w:tcW w:w="6746"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rPr>
                <w:sz w:val="28"/>
                <w:szCs w:val="28"/>
              </w:rPr>
            </w:pPr>
            <w:r>
              <w:rPr>
                <w:sz w:val="28"/>
                <w:szCs w:val="28"/>
              </w:rPr>
              <w:t>Прочие</w:t>
            </w:r>
          </w:p>
        </w:tc>
        <w:tc>
          <w:tcPr>
            <w:tcW w:w="760"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1,0</w:t>
            </w:r>
          </w:p>
        </w:tc>
        <w:tc>
          <w:tcPr>
            <w:tcW w:w="760"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1,0</w:t>
            </w:r>
          </w:p>
        </w:tc>
        <w:tc>
          <w:tcPr>
            <w:tcW w:w="75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1,0</w:t>
            </w:r>
          </w:p>
        </w:tc>
      </w:tr>
    </w:tbl>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bookmarkStart w:id="20" w:name="Par435"/>
      <w:bookmarkEnd w:id="20"/>
      <w:r>
        <w:rPr>
          <w:sz w:val="28"/>
          <w:szCs w:val="28"/>
        </w:rPr>
        <w:t>13. Расходы на запасные части и материалы, используемые при техническом обслуживании и ремонте транспортных средств i-го класса в t-ый год срока действия контракта в расчете на 1 км пробега (</w:t>
      </w:r>
      <w:r>
        <w:rPr/>
        <w:drawing>
          <wp:inline distT="0" distB="0" distL="0" distR="0">
            <wp:extent cx="336550" cy="278130"/>
            <wp:effectExtent l="0" t="0" r="0" b="0"/>
            <wp:docPr id="111" name="Рисунок 1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Рисунок 121" descr=""/>
                    <pic:cNvPicPr>
                      <a:picLocks noChangeAspect="1" noChangeArrowheads="1"/>
                    </pic:cNvPicPr>
                  </pic:nvPicPr>
                  <pic:blipFill>
                    <a:blip r:embed="rId126"/>
                    <a:stretch>
                      <a:fillRect/>
                    </a:stretch>
                  </pic:blipFill>
                  <pic:spPr bwMode="auto">
                    <a:xfrm>
                      <a:off x="0" y="0"/>
                      <a:ext cx="336550" cy="278130"/>
                    </a:xfrm>
                    <a:prstGeom prst="rect">
                      <a:avLst/>
                    </a:prstGeom>
                  </pic:spPr>
                </pic:pic>
              </a:graphicData>
            </a:graphic>
          </wp:inline>
        </w:drawing>
      </w:r>
      <w:r>
        <w:rPr>
          <w:sz w:val="28"/>
          <w:szCs w:val="28"/>
        </w:rPr>
        <w:t>) определяются по формуле (13).</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3028315" cy="278130"/>
            <wp:effectExtent l="0" t="0" r="0" b="0"/>
            <wp:docPr id="112" name="Рисунок 1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Рисунок 122" descr=""/>
                    <pic:cNvPicPr>
                      <a:picLocks noChangeAspect="1" noChangeArrowheads="1"/>
                    </pic:cNvPicPr>
                  </pic:nvPicPr>
                  <pic:blipFill>
                    <a:blip r:embed="rId127"/>
                    <a:stretch>
                      <a:fillRect/>
                    </a:stretch>
                  </pic:blipFill>
                  <pic:spPr bwMode="auto">
                    <a:xfrm>
                      <a:off x="0" y="0"/>
                      <a:ext cx="3028315" cy="278130"/>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504825" cy="278130"/>
            <wp:effectExtent l="0" t="0" r="0" b="0"/>
            <wp:docPr id="113" name="Рисунок 1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Рисунок 123" descr=""/>
                    <pic:cNvPicPr>
                      <a:picLocks noChangeAspect="1" noChangeArrowheads="1"/>
                    </pic:cNvPicPr>
                  </pic:nvPicPr>
                  <pic:blipFill>
                    <a:blip r:embed="rId128"/>
                    <a:stretch>
                      <a:fillRect/>
                    </a:stretch>
                  </pic:blipFill>
                  <pic:spPr bwMode="auto">
                    <a:xfrm>
                      <a:off x="0" y="0"/>
                      <a:ext cx="50482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базовые удельные расходы на запасные части и материалы для транспортных средств i-го класса в расчете на 1 км пробега, включая НДС, руб./км (для автобусов особо малого класса принимаются равными не менее 2,2, для автобусов малого класса - не менее 3,2, для автобусов среднего класса - не менее 3,6, для автобусов большого класса - не менее 6,4, для автобусов особо большого класса - не менее 8,6);</w:t>
      </w:r>
    </w:p>
    <w:p>
      <w:pPr>
        <w:pStyle w:val="ConsPlusNormal"/>
        <w:spacing w:before="0" w:after="0"/>
        <w:ind w:left="0" w:right="0" w:firstLine="709"/>
        <w:jc w:val="both"/>
        <w:rPr/>
      </w:pPr>
      <w:r>
        <w:rPr/>
        <w:drawing>
          <wp:inline distT="0" distB="0" distL="0" distR="0">
            <wp:extent cx="285115" cy="278130"/>
            <wp:effectExtent l="0" t="0" r="0" b="0"/>
            <wp:docPr id="114" name="Рисунок 1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Рисунок 124" descr=""/>
                    <pic:cNvPicPr>
                      <a:picLocks noChangeAspect="1" noChangeArrowheads="1"/>
                    </pic:cNvPicPr>
                  </pic:nvPicPr>
                  <pic:blipFill>
                    <a:blip r:embed="rId129"/>
                    <a:stretch>
                      <a:fillRect/>
                    </a:stretch>
                  </pic:blipFill>
                  <pic:spPr bwMode="auto">
                    <a:xfrm>
                      <a:off x="0" y="0"/>
                      <a:ext cx="28511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коэффициент корректировки базовых удельных расходов на запасные части и материалы в зависимости от природно-климатических условий (принимается в соответствии с </w:t>
      </w:r>
      <w:hyperlink w:anchor="Par404" w:tgtFrame="Коэффициенты корректировки в зависимости">
        <w:r>
          <w:rPr>
            <w:sz w:val="28"/>
            <w:szCs w:val="28"/>
          </w:rPr>
          <w:t>таблицей 2</w:t>
        </w:r>
      </w:hyperlink>
      <w:r>
        <w:rPr>
          <w:sz w:val="28"/>
          <w:szCs w:val="28"/>
        </w:rPr>
        <w:t>);</w:t>
      </w:r>
    </w:p>
    <w:p>
      <w:pPr>
        <w:pStyle w:val="ConsPlusNormal"/>
        <w:spacing w:before="0" w:after="0"/>
        <w:ind w:left="0" w:right="0" w:firstLine="709"/>
        <w:jc w:val="both"/>
        <w:rPr/>
      </w:pPr>
      <w:r>
        <w:rPr/>
        <w:drawing>
          <wp:inline distT="0" distB="0" distL="0" distR="0">
            <wp:extent cx="241300" cy="278130"/>
            <wp:effectExtent l="0" t="0" r="0" b="0"/>
            <wp:docPr id="115" name="Рисунок 1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Рисунок 125" descr=""/>
                    <pic:cNvPicPr>
                      <a:picLocks noChangeAspect="1" noChangeArrowheads="1"/>
                    </pic:cNvPicPr>
                  </pic:nvPicPr>
                  <pic:blipFill>
                    <a:blip r:embed="rId109"/>
                    <a:stretch>
                      <a:fillRect/>
                    </a:stretch>
                  </pic:blipFill>
                  <pic:spPr bwMode="auto">
                    <a:xfrm>
                      <a:off x="0" y="0"/>
                      <a:ext cx="24130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индекс цен на машины и оборудование для t-ого года срока действия контракта (принимается равным произведению определяемых Росстатом индексов цен производителей машин и оборудования за период с декабря 2017 года по период, ближайший к началу срока действия контракта, и прогнозного индекса цен производителей на продукцию машиностроения для каждого года срока действия контракта, определяемого Минэкономразвития России в прогнозе социально-экономического развития Российской Федерации (если срок действия контракта превышает срок прогноза, индекс цен производителей на продукцию машиностроения для каждого года срока действия контракта, не указанного в прогнозе, принимается равным индексу цен производителей на продукцию машиностроения, указанному для последнего года прогноза)).</w:t>
      </w:r>
    </w:p>
    <w:p>
      <w:pPr>
        <w:pStyle w:val="ConsPlusNormal"/>
        <w:spacing w:before="0" w:after="0"/>
        <w:ind w:left="0" w:right="0" w:firstLine="709"/>
        <w:jc w:val="both"/>
        <w:rPr/>
      </w:pPr>
      <w:bookmarkStart w:id="21" w:name="Par444"/>
      <w:bookmarkEnd w:id="21"/>
      <w:r>
        <w:rPr>
          <w:sz w:val="28"/>
          <w:szCs w:val="28"/>
        </w:rPr>
        <w:t>14. Прочие расходы по обычным видам деятельности в сумме с косвенными расходами в составе расходов, определенном Приложением №4, для транспортных средств i-го класса в t-ом году срока действия контракта (</w:t>
      </w:r>
      <w:r>
        <w:rPr/>
        <w:drawing>
          <wp:inline distT="0" distB="0" distL="0" distR="0">
            <wp:extent cx="497205" cy="278130"/>
            <wp:effectExtent l="0" t="0" r="0" b="0"/>
            <wp:docPr id="116" name="Рисунок 1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Рисунок 126" descr=""/>
                    <pic:cNvPicPr>
                      <a:picLocks noChangeAspect="1" noChangeArrowheads="1"/>
                    </pic:cNvPicPr>
                  </pic:nvPicPr>
                  <pic:blipFill>
                    <a:blip r:embed="rId130"/>
                    <a:stretch>
                      <a:fillRect/>
                    </a:stretch>
                  </pic:blipFill>
                  <pic:spPr bwMode="auto">
                    <a:xfrm>
                      <a:off x="0" y="0"/>
                      <a:ext cx="497205" cy="278130"/>
                    </a:xfrm>
                    <a:prstGeom prst="rect">
                      <a:avLst/>
                    </a:prstGeom>
                  </pic:spPr>
                </pic:pic>
              </a:graphicData>
            </a:graphic>
          </wp:inline>
        </w:drawing>
      </w:r>
      <w:r>
        <w:rPr>
          <w:sz w:val="28"/>
          <w:szCs w:val="28"/>
        </w:rPr>
        <w:t>) определяются по формуле (14).</w:t>
      </w:r>
    </w:p>
    <w:p>
      <w:pPr>
        <w:pStyle w:val="ConsPlusNormal"/>
        <w:spacing w:before="0" w:after="0"/>
        <w:ind w:left="0" w:right="0" w:firstLine="709"/>
        <w:jc w:val="both"/>
        <w:rPr>
          <w:i/>
          <w:i/>
          <w:sz w:val="28"/>
          <w:szCs w:val="28"/>
        </w:rPr>
      </w:pPr>
      <w:r>
        <w:rPr>
          <w:i/>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4162425" cy="285115"/>
            <wp:effectExtent l="0" t="0" r="0" b="0"/>
            <wp:docPr id="117" name="Рисунок 1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Рисунок 127" descr=""/>
                    <pic:cNvPicPr>
                      <a:picLocks noChangeAspect="1" noChangeArrowheads="1"/>
                    </pic:cNvPicPr>
                  </pic:nvPicPr>
                  <pic:blipFill>
                    <a:blip r:embed="rId131"/>
                    <a:stretch>
                      <a:fillRect/>
                    </a:stretch>
                  </pic:blipFill>
                  <pic:spPr bwMode="auto">
                    <a:xfrm>
                      <a:off x="0" y="0"/>
                      <a:ext cx="4162425" cy="285115"/>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314325" cy="285115"/>
            <wp:effectExtent l="0" t="0" r="0" b="0"/>
            <wp:docPr id="118" name="Рисунок 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Рисунок 128" descr=""/>
                    <pic:cNvPicPr>
                      <a:picLocks noChangeAspect="1" noChangeArrowheads="1"/>
                    </pic:cNvPicPr>
                  </pic:nvPicPr>
                  <pic:blipFill>
                    <a:blip r:embed="rId132"/>
                    <a:stretch>
                      <a:fillRect/>
                    </a:stretch>
                  </pic:blipFill>
                  <pic:spPr bwMode="auto">
                    <a:xfrm>
                      <a:off x="0" y="0"/>
                      <a:ext cx="314325"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отношение суммы прочих расходов по обычным видам деятельности и косвенных расходов к переменным расходам (принимается в соответствии с </w:t>
      </w:r>
      <w:hyperlink w:anchor="Par458" w:tgtFrame="Отношение суммы прочих расходов по обычным видам">
        <w:r>
          <w:rPr>
            <w:sz w:val="28"/>
            <w:szCs w:val="28"/>
          </w:rPr>
          <w:t>таблицей 3</w:t>
        </w:r>
      </w:hyperlink>
      <w:r>
        <w:rPr>
          <w:sz w:val="28"/>
          <w:szCs w:val="28"/>
        </w:rPr>
        <w:t>);</w:t>
      </w:r>
    </w:p>
    <w:p>
      <w:pPr>
        <w:pStyle w:val="ConsPlusNormal"/>
        <w:spacing w:before="0" w:after="0"/>
        <w:ind w:left="0" w:right="0" w:firstLine="709"/>
        <w:jc w:val="both"/>
        <w:rPr/>
      </w:pPr>
      <w:r>
        <w:rPr/>
        <w:drawing>
          <wp:inline distT="0" distB="0" distL="0" distR="0">
            <wp:extent cx="285115" cy="278130"/>
            <wp:effectExtent l="0" t="0" r="0" b="0"/>
            <wp:docPr id="119" name="Рисунок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Рисунок 129" descr=""/>
                    <pic:cNvPicPr>
                      <a:picLocks noChangeAspect="1" noChangeArrowheads="1"/>
                    </pic:cNvPicPr>
                  </pic:nvPicPr>
                  <pic:blipFill>
                    <a:blip r:embed="rId133"/>
                    <a:stretch>
                      <a:fillRect/>
                    </a:stretch>
                  </pic:blipFill>
                  <pic:spPr bwMode="auto">
                    <a:xfrm>
                      <a:off x="0" y="0"/>
                      <a:ext cx="28511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282" w:tgtFrame="7. Расходы на топливо для транспортных средств i-го класса в t-ый год срока действия контракта в расчете на 1 км пробега (_) определяются по формуле (7).">
        <w:r>
          <w:rPr>
            <w:sz w:val="28"/>
            <w:szCs w:val="28"/>
          </w:rPr>
          <w:t>пунктом 7</w:t>
        </w:r>
      </w:hyperlink>
      <w:r>
        <w:rPr>
          <w:sz w:val="28"/>
          <w:szCs w:val="28"/>
        </w:rPr>
        <w:t xml:space="preserve"> настоящего приложения расходы на топливо для транспортных средств i-го класса в t-ый год срока действия контракта в расчете на 1 км пробега;</w:t>
      </w:r>
    </w:p>
    <w:p>
      <w:pPr>
        <w:pStyle w:val="ConsPlusNormal"/>
        <w:spacing w:before="0" w:after="0"/>
        <w:ind w:left="0" w:right="0" w:firstLine="709"/>
        <w:jc w:val="both"/>
        <w:rPr/>
      </w:pPr>
      <w:r>
        <w:rPr/>
        <w:drawing>
          <wp:inline distT="0" distB="0" distL="0" distR="0">
            <wp:extent cx="402590" cy="278130"/>
            <wp:effectExtent l="0" t="0" r="0" b="0"/>
            <wp:docPr id="120" name="Рисунок 1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Рисунок 130" descr=""/>
                    <pic:cNvPicPr>
                      <a:picLocks noChangeAspect="1" noChangeArrowheads="1"/>
                    </pic:cNvPicPr>
                  </pic:nvPicPr>
                  <pic:blipFill>
                    <a:blip r:embed="rId134"/>
                    <a:stretch>
                      <a:fillRect/>
                    </a:stretch>
                  </pic:blipFill>
                  <pic:spPr bwMode="auto">
                    <a:xfrm>
                      <a:off x="0" y="0"/>
                      <a:ext cx="40259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355" w:tgtFrame="8. Расходы на смазочные и прочие эксплуатационные материалы для транспортных средств i-го класса в t-ый год срока действия контракта в расчете на 1 км пробега (_) определяются по формуле (8).">
        <w:r>
          <w:rPr>
            <w:sz w:val="28"/>
            <w:szCs w:val="28"/>
          </w:rPr>
          <w:t>пунктом 8</w:t>
        </w:r>
      </w:hyperlink>
      <w:r>
        <w:rPr>
          <w:sz w:val="28"/>
          <w:szCs w:val="28"/>
        </w:rPr>
        <w:t xml:space="preserve"> настоящего приложения расходы на смазочные и прочие эксплуатационные материалы для транспортных средств i-го класса в t-ый год срока действия контракта в расчете на 1 км пробега;</w:t>
      </w:r>
    </w:p>
    <w:p>
      <w:pPr>
        <w:pStyle w:val="ConsPlusNormal"/>
        <w:spacing w:before="0" w:after="0"/>
        <w:ind w:left="0" w:right="0" w:firstLine="709"/>
        <w:jc w:val="both"/>
        <w:rPr/>
      </w:pPr>
      <w:r>
        <w:rPr/>
        <w:drawing>
          <wp:inline distT="0" distB="0" distL="0" distR="0">
            <wp:extent cx="358140" cy="278130"/>
            <wp:effectExtent l="0" t="0" r="0" b="0"/>
            <wp:docPr id="121" name="Рисунок 1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Рисунок 131" descr=""/>
                    <pic:cNvPicPr>
                      <a:picLocks noChangeAspect="1" noChangeArrowheads="1"/>
                    </pic:cNvPicPr>
                  </pic:nvPicPr>
                  <pic:blipFill>
                    <a:blip r:embed="rId135"/>
                    <a:stretch>
                      <a:fillRect/>
                    </a:stretch>
                  </pic:blipFill>
                  <pic:spPr bwMode="auto">
                    <a:xfrm>
                      <a:off x="0" y="0"/>
                      <a:ext cx="358140" cy="278130"/>
                    </a:xfrm>
                    <a:prstGeom prst="rect">
                      <a:avLst/>
                    </a:prstGeom>
                  </pic:spPr>
                </pic:pic>
              </a:graphicData>
            </a:graphic>
          </wp:inline>
        </w:drawing>
      </w:r>
      <w:r>
        <w:rPr>
          <w:sz w:val="28"/>
          <w:szCs w:val="28"/>
        </w:rPr>
        <w:t xml:space="preserve"> </w:t>
      </w:r>
      <w:r>
        <w:rPr>
          <w:sz w:val="28"/>
          <w:szCs w:val="28"/>
        </w:rPr>
        <w:t xml:space="preserve">- определенные в соответствии с </w:t>
      </w:r>
      <w:hyperlink w:anchor="Par362" w:tgtFrame="9. Расходы на износ и ремонт шин транспортных средств i-го класса в t-ый год срока действия контракта в расчете на 1 км пробега (_) определяются по формуле (9).">
        <w:r>
          <w:rPr>
            <w:sz w:val="28"/>
            <w:szCs w:val="28"/>
          </w:rPr>
          <w:t>пунктом 9</w:t>
        </w:r>
      </w:hyperlink>
      <w:r>
        <w:rPr>
          <w:sz w:val="28"/>
          <w:szCs w:val="28"/>
        </w:rPr>
        <w:t xml:space="preserve"> настоящего приложения расходы на износ и ремонт шин транспортных средств i-го класса в t-ый год срока действия контракта в расчете на 1 км пробега;</w:t>
      </w:r>
    </w:p>
    <w:p>
      <w:pPr>
        <w:pStyle w:val="ConsPlusNormal"/>
        <w:spacing w:before="0" w:after="0"/>
        <w:ind w:left="0" w:right="0" w:firstLine="709"/>
        <w:jc w:val="both"/>
        <w:rPr/>
      </w:pPr>
      <w:r>
        <w:rPr/>
        <w:drawing>
          <wp:inline distT="0" distB="0" distL="0" distR="0">
            <wp:extent cx="365760" cy="278130"/>
            <wp:effectExtent l="0" t="0" r="0" b="0"/>
            <wp:docPr id="122" name="Рисунок 1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Рисунок 132" descr=""/>
                    <pic:cNvPicPr>
                      <a:picLocks noChangeAspect="1" noChangeArrowheads="1"/>
                    </pic:cNvPicPr>
                  </pic:nvPicPr>
                  <pic:blipFill>
                    <a:blip r:embed="rId136"/>
                    <a:stretch>
                      <a:fillRect/>
                    </a:stretch>
                  </pic:blipFill>
                  <pic:spPr bwMode="auto">
                    <a:xfrm>
                      <a:off x="0" y="0"/>
                      <a:ext cx="365760" cy="278130"/>
                    </a:xfrm>
                    <a:prstGeom prst="rect">
                      <a:avLst/>
                    </a:prstGeom>
                  </pic:spPr>
                </pic:pic>
              </a:graphicData>
            </a:graphic>
          </wp:inline>
        </w:drawing>
      </w:r>
      <w:r>
        <w:rPr>
          <w:sz w:val="28"/>
          <w:szCs w:val="28"/>
        </w:rPr>
        <w:t xml:space="preserve"> </w:t>
      </w:r>
      <w:r>
        <w:rPr>
          <w:sz w:val="28"/>
          <w:szCs w:val="28"/>
        </w:rPr>
        <w:t xml:space="preserve">- определенные в соответствии с </w:t>
      </w:r>
      <w:hyperlink w:anchor="Par370" w:tgtFrame="10. Расходы на техническое обслуживание и ремонт транспортных средств i-го класса в t-ый год срока действия контракта в расчете на 1 км пробега (_) определяются по формуле (10).">
        <w:r>
          <w:rPr>
            <w:sz w:val="28"/>
            <w:szCs w:val="28"/>
          </w:rPr>
          <w:t>пунктом 10</w:t>
        </w:r>
      </w:hyperlink>
      <w:r>
        <w:rPr>
          <w:sz w:val="28"/>
          <w:szCs w:val="28"/>
        </w:rPr>
        <w:t xml:space="preserve"> настоящего приложения расходы на техническое обслуживание и ремонт транспортных средств i-го класса в t-ый год срока действия контракта в расчете на 1 км пробега.</w:t>
      </w:r>
    </w:p>
    <w:p>
      <w:pPr>
        <w:pStyle w:val="ConsPlusNormal"/>
        <w:numPr>
          <w:ilvl w:val="0"/>
          <w:numId w:val="0"/>
        </w:numPr>
        <w:spacing w:before="0" w:after="0"/>
        <w:ind w:left="0" w:right="0" w:firstLine="709"/>
        <w:jc w:val="right"/>
        <w:outlineLvl w:val="2"/>
        <w:rPr/>
      </w:pPr>
      <w:r>
        <w:rPr>
          <w:sz w:val="28"/>
          <w:szCs w:val="28"/>
        </w:rPr>
        <w:t>Таблица 3</w:t>
      </w:r>
    </w:p>
    <w:p>
      <w:pPr>
        <w:pStyle w:val="ConsPlusNormal"/>
        <w:spacing w:before="0" w:after="0"/>
        <w:ind w:left="0" w:right="0" w:firstLine="709"/>
        <w:jc w:val="both"/>
        <w:rPr>
          <w:sz w:val="28"/>
          <w:szCs w:val="28"/>
        </w:rPr>
      </w:pPr>
      <w:r>
        <w:rPr>
          <w:sz w:val="28"/>
          <w:szCs w:val="28"/>
        </w:rPr>
      </w:r>
    </w:p>
    <w:p>
      <w:pPr>
        <w:pStyle w:val="ConsPlusTitle"/>
        <w:spacing w:before="0" w:after="0"/>
        <w:ind w:left="0" w:right="0" w:firstLine="709"/>
        <w:jc w:val="center"/>
        <w:rPr/>
      </w:pPr>
      <w:bookmarkStart w:id="22" w:name="Par458"/>
      <w:bookmarkEnd w:id="22"/>
      <w:r>
        <w:rPr>
          <w:rFonts w:cs="Times New Roman" w:ascii="Times New Roman" w:hAnsi="Times New Roman"/>
          <w:sz w:val="28"/>
          <w:szCs w:val="28"/>
        </w:rPr>
        <w:t>Отношение суммы прочих расходов по обычным видам</w:t>
      </w:r>
    </w:p>
    <w:p>
      <w:pPr>
        <w:pStyle w:val="ConsPlusTitle"/>
        <w:spacing w:before="0" w:after="0"/>
        <w:ind w:left="0" w:right="0" w:firstLine="709"/>
        <w:jc w:val="center"/>
        <w:rPr/>
      </w:pPr>
      <w:r>
        <w:rPr>
          <w:rFonts w:cs="Times New Roman" w:ascii="Times New Roman" w:hAnsi="Times New Roman"/>
          <w:sz w:val="28"/>
          <w:szCs w:val="28"/>
        </w:rPr>
        <w:t>деятельности и косвенных расходов к переменным</w:t>
      </w:r>
    </w:p>
    <w:p>
      <w:pPr>
        <w:pStyle w:val="ConsPlusTitle"/>
        <w:spacing w:before="0" w:after="0"/>
        <w:ind w:left="0" w:right="0" w:firstLine="709"/>
        <w:jc w:val="center"/>
        <w:rPr/>
      </w:pPr>
      <w:r>
        <w:rPr>
          <w:rFonts w:cs="Times New Roman" w:ascii="Times New Roman" w:hAnsi="Times New Roman"/>
          <w:sz w:val="28"/>
          <w:szCs w:val="28"/>
        </w:rPr>
        <w:t>расходам (Кпр)</w:t>
      </w:r>
    </w:p>
    <w:p>
      <w:pPr>
        <w:pStyle w:val="ConsPlusNormal"/>
        <w:spacing w:before="0" w:after="0"/>
        <w:ind w:left="0" w:right="0" w:firstLine="709"/>
        <w:jc w:val="both"/>
        <w:rPr>
          <w:sz w:val="28"/>
          <w:szCs w:val="28"/>
        </w:rPr>
      </w:pPr>
      <w:r>
        <w:rPr>
          <w:sz w:val="28"/>
          <w:szCs w:val="28"/>
        </w:rPr>
      </w:r>
    </w:p>
    <w:tbl>
      <w:tblPr>
        <w:tblW w:w="9071" w:type="dxa"/>
        <w:jc w:val="left"/>
        <w:tblInd w:w="62" w:type="dxa"/>
        <w:tblLayout w:type="fixed"/>
        <w:tblCellMar>
          <w:top w:w="102" w:type="dxa"/>
          <w:left w:w="62" w:type="dxa"/>
          <w:bottom w:w="102" w:type="dxa"/>
          <w:right w:w="62" w:type="dxa"/>
        </w:tblCellMar>
        <w:tblLook w:val="0000" w:noVBand="0" w:noHBand="0" w:lastColumn="0" w:firstColumn="0" w:lastRow="0" w:firstRow="0"/>
      </w:tblPr>
      <w:tblGrid>
        <w:gridCol w:w="7088"/>
        <w:gridCol w:w="1982"/>
      </w:tblGrid>
      <w:tr>
        <w:trPr/>
        <w:tc>
          <w:tcPr>
            <w:tcW w:w="7088"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Предусмотренный контрактом суммарный планируемый пробег транспортных средств всех классов в t-ом году срока действия контракта на данном маршруте, тыс. км</w:t>
            </w:r>
          </w:p>
        </w:tc>
        <w:tc>
          <w:tcPr>
            <w:tcW w:w="1982"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К</w:t>
            </w:r>
            <w:r>
              <w:rPr>
                <w:sz w:val="28"/>
                <w:szCs w:val="28"/>
                <w:vertAlign w:val="subscript"/>
              </w:rPr>
              <w:t>пр</w:t>
            </w:r>
          </w:p>
        </w:tc>
      </w:tr>
      <w:tr>
        <w:trPr/>
        <w:tc>
          <w:tcPr>
            <w:tcW w:w="7088"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rPr>
                <w:sz w:val="28"/>
                <w:szCs w:val="28"/>
              </w:rPr>
            </w:pPr>
            <w:r>
              <w:rPr>
                <w:sz w:val="28"/>
                <w:szCs w:val="28"/>
              </w:rPr>
              <w:t>До 50</w:t>
            </w:r>
          </w:p>
        </w:tc>
        <w:tc>
          <w:tcPr>
            <w:tcW w:w="198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0,755</w:t>
            </w:r>
          </w:p>
        </w:tc>
      </w:tr>
      <w:tr>
        <w:trPr/>
        <w:tc>
          <w:tcPr>
            <w:tcW w:w="7088"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rPr>
                <w:sz w:val="28"/>
                <w:szCs w:val="28"/>
              </w:rPr>
            </w:pPr>
            <w:r>
              <w:rPr>
                <w:sz w:val="28"/>
                <w:szCs w:val="28"/>
              </w:rPr>
              <w:t>Свыше 50 до 150</w:t>
            </w:r>
          </w:p>
        </w:tc>
        <w:tc>
          <w:tcPr>
            <w:tcW w:w="198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0,745</w:t>
            </w:r>
          </w:p>
        </w:tc>
      </w:tr>
      <w:tr>
        <w:trPr/>
        <w:tc>
          <w:tcPr>
            <w:tcW w:w="7088"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rPr>
                <w:sz w:val="28"/>
                <w:szCs w:val="28"/>
              </w:rPr>
            </w:pPr>
            <w:r>
              <w:rPr>
                <w:sz w:val="28"/>
                <w:szCs w:val="28"/>
              </w:rPr>
              <w:t>Свыше 150 до 850</w:t>
            </w:r>
          </w:p>
        </w:tc>
        <w:tc>
          <w:tcPr>
            <w:tcW w:w="198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0,710</w:t>
            </w:r>
          </w:p>
        </w:tc>
      </w:tr>
      <w:tr>
        <w:trPr/>
        <w:tc>
          <w:tcPr>
            <w:tcW w:w="7088"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rPr>
                <w:sz w:val="28"/>
                <w:szCs w:val="28"/>
              </w:rPr>
            </w:pPr>
            <w:r>
              <w:rPr>
                <w:sz w:val="28"/>
                <w:szCs w:val="28"/>
              </w:rPr>
              <w:t>Свыше 850 до 1650</w:t>
            </w:r>
          </w:p>
        </w:tc>
        <w:tc>
          <w:tcPr>
            <w:tcW w:w="198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0,635</w:t>
            </w:r>
          </w:p>
        </w:tc>
      </w:tr>
      <w:tr>
        <w:trPr/>
        <w:tc>
          <w:tcPr>
            <w:tcW w:w="7088"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rPr>
                <w:sz w:val="28"/>
                <w:szCs w:val="28"/>
              </w:rPr>
            </w:pPr>
            <w:r>
              <w:rPr>
                <w:sz w:val="28"/>
                <w:szCs w:val="28"/>
              </w:rPr>
              <w:t>Свыше 1650 до 2450</w:t>
            </w:r>
          </w:p>
        </w:tc>
        <w:tc>
          <w:tcPr>
            <w:tcW w:w="198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0,580</w:t>
            </w:r>
          </w:p>
        </w:tc>
      </w:tr>
      <w:tr>
        <w:trPr/>
        <w:tc>
          <w:tcPr>
            <w:tcW w:w="7088"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rPr>
                <w:sz w:val="28"/>
                <w:szCs w:val="28"/>
              </w:rPr>
            </w:pPr>
            <w:r>
              <w:rPr>
                <w:sz w:val="28"/>
                <w:szCs w:val="28"/>
              </w:rPr>
              <w:t>Свыше 2450 до 3250</w:t>
            </w:r>
          </w:p>
        </w:tc>
        <w:tc>
          <w:tcPr>
            <w:tcW w:w="198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0,515</w:t>
            </w:r>
          </w:p>
        </w:tc>
      </w:tr>
      <w:tr>
        <w:trPr/>
        <w:tc>
          <w:tcPr>
            <w:tcW w:w="7088"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rPr>
                <w:sz w:val="28"/>
                <w:szCs w:val="28"/>
              </w:rPr>
            </w:pPr>
            <w:r>
              <w:rPr>
                <w:sz w:val="28"/>
                <w:szCs w:val="28"/>
              </w:rPr>
              <w:t>Свыше 3250 до 4050</w:t>
            </w:r>
          </w:p>
        </w:tc>
        <w:tc>
          <w:tcPr>
            <w:tcW w:w="198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0,460</w:t>
            </w:r>
          </w:p>
        </w:tc>
      </w:tr>
      <w:tr>
        <w:trPr/>
        <w:tc>
          <w:tcPr>
            <w:tcW w:w="7088"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rPr>
                <w:sz w:val="28"/>
                <w:szCs w:val="28"/>
              </w:rPr>
            </w:pPr>
            <w:r>
              <w:rPr>
                <w:sz w:val="28"/>
                <w:szCs w:val="28"/>
              </w:rPr>
              <w:t>Свыше 4050 до 4850</w:t>
            </w:r>
          </w:p>
        </w:tc>
        <w:tc>
          <w:tcPr>
            <w:tcW w:w="1982"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0,420</w:t>
            </w:r>
          </w:p>
        </w:tc>
      </w:tr>
      <w:tr>
        <w:trPr/>
        <w:tc>
          <w:tcPr>
            <w:tcW w:w="708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rPr>
                <w:sz w:val="28"/>
                <w:szCs w:val="28"/>
              </w:rPr>
            </w:pPr>
            <w:r>
              <w:rPr>
                <w:sz w:val="28"/>
                <w:szCs w:val="28"/>
              </w:rPr>
              <w:t>Свыше 4850 до 5650</w:t>
            </w:r>
          </w:p>
        </w:tc>
        <w:tc>
          <w:tcPr>
            <w:tcW w:w="1982"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0,375</w:t>
            </w:r>
          </w:p>
        </w:tc>
      </w:tr>
    </w:tbl>
    <w:p>
      <w:pPr>
        <w:pStyle w:val="Normal"/>
        <w:spacing w:before="0" w:after="0"/>
        <w:ind w:left="0" w:right="0" w:firstLine="709"/>
        <w:rPr>
          <w:rFonts w:cs="Times New Roman"/>
          <w:sz w:val="28"/>
          <w:szCs w:val="28"/>
        </w:rPr>
      </w:pPr>
      <w:r>
        <w:rPr>
          <w:rFonts w:cs="Times New Roman"/>
          <w:sz w:val="28"/>
          <w:szCs w:val="28"/>
        </w:rPr>
      </w:r>
      <w:r>
        <w:br w:type="page"/>
      </w:r>
    </w:p>
    <w:tbl>
      <w:tblPr>
        <w:tblW w:w="6119" w:type="dxa"/>
        <w:jc w:val="right"/>
        <w:tblInd w:w="0" w:type="dxa"/>
        <w:tblLayout w:type="fixed"/>
        <w:tblCellMar>
          <w:top w:w="55" w:type="dxa"/>
          <w:left w:w="55" w:type="dxa"/>
          <w:bottom w:w="55" w:type="dxa"/>
          <w:right w:w="55" w:type="dxa"/>
        </w:tblCellMar>
      </w:tblPr>
      <w:tblGrid>
        <w:gridCol w:w="6119"/>
      </w:tblGrid>
      <w:tr>
        <w:trPr/>
        <w:tc>
          <w:tcPr>
            <w:tcW w:w="6119" w:type="dxa"/>
            <w:tcBorders/>
          </w:tcPr>
          <w:p>
            <w:pPr>
              <w:pStyle w:val="ConsPlusNormal"/>
              <w:pageBreakBefore/>
              <w:widowControl w:val="false"/>
              <w:numPr>
                <w:ilvl w:val="0"/>
                <w:numId w:val="0"/>
              </w:numPr>
              <w:suppressAutoHyphens w:val="true"/>
              <w:bidi w:val="0"/>
              <w:spacing w:before="0" w:after="0"/>
              <w:ind w:left="0" w:right="0" w:hanging="0"/>
              <w:jc w:val="center"/>
              <w:outlineLvl w:val="1"/>
              <w:rPr/>
            </w:pPr>
            <w:r>
              <w:rPr>
                <w:rFonts w:eastAsia="" w:cs="Times New Roman" w:eastAsiaTheme="minorEastAsia"/>
                <w:color w:val="auto"/>
                <w:kern w:val="0"/>
                <w:sz w:val="28"/>
                <w:szCs w:val="28"/>
                <w:lang w:val="ru-RU" w:eastAsia="ru-RU" w:bidi="ar-SA"/>
              </w:rPr>
              <w:t>ПРИЛОЖЕНИЕ</w:t>
            </w:r>
            <w:r>
              <w:rPr>
                <w:sz w:val="28"/>
                <w:szCs w:val="28"/>
              </w:rPr>
              <w:t xml:space="preserve"> № 2</w:t>
            </w:r>
          </w:p>
          <w:p>
            <w:pPr>
              <w:pStyle w:val="ConsPlusNormal"/>
              <w:widowControl w:val="false"/>
              <w:numPr>
                <w:ilvl w:val="0"/>
                <w:numId w:val="0"/>
              </w:numPr>
              <w:suppressAutoHyphens w:val="true"/>
              <w:bidi w:val="0"/>
              <w:spacing w:before="0" w:after="0"/>
              <w:ind w:left="0" w:right="0" w:hanging="0"/>
              <w:jc w:val="center"/>
              <w:rPr/>
            </w:pPr>
            <w:r>
              <w:rPr>
                <w:sz w:val="28"/>
                <w:szCs w:val="28"/>
              </w:rPr>
              <w:t>к Порядку определения начальной (максимальной) цены контракта, а также цены контракта, заключаемого с единственным поставщиком (подрядчиком, исполнителем),</w:t>
            </w:r>
          </w:p>
          <w:p>
            <w:pPr>
              <w:pStyle w:val="ConsPlusNormal"/>
              <w:widowControl w:val="false"/>
              <w:numPr>
                <w:ilvl w:val="0"/>
                <w:numId w:val="0"/>
              </w:numPr>
              <w:suppressAutoHyphens w:val="true"/>
              <w:bidi w:val="0"/>
              <w:spacing w:before="0" w:after="0"/>
              <w:ind w:left="0" w:right="0" w:hanging="0"/>
              <w:jc w:val="center"/>
              <w:rPr/>
            </w:pPr>
            <w:r>
              <w:rPr>
                <w:sz w:val="28"/>
                <w:szCs w:val="28"/>
              </w:rPr>
              <w:t>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p>
        </w:tc>
      </w:tr>
    </w:tbl>
    <w:p>
      <w:pPr>
        <w:pStyle w:val="ConsPlusNormal"/>
        <w:spacing w:before="0" w:after="0"/>
        <w:ind w:left="0" w:right="0" w:firstLine="709"/>
        <w:jc w:val="both"/>
        <w:rPr>
          <w:sz w:val="28"/>
          <w:szCs w:val="28"/>
        </w:rPr>
      </w:pPr>
      <w:r>
        <w:rPr>
          <w:sz w:val="28"/>
          <w:szCs w:val="28"/>
        </w:rPr>
      </w:r>
    </w:p>
    <w:p>
      <w:pPr>
        <w:pStyle w:val="ConsPlusTitle"/>
        <w:spacing w:before="0" w:after="0"/>
        <w:ind w:left="0" w:right="0" w:firstLine="709"/>
        <w:jc w:val="center"/>
        <w:rPr/>
      </w:pPr>
      <w:bookmarkStart w:id="23" w:name="Par500"/>
      <w:bookmarkEnd w:id="23"/>
      <w:r>
        <w:rPr>
          <w:rFonts w:cs="Times New Roman" w:ascii="Times New Roman" w:hAnsi="Times New Roman"/>
          <w:sz w:val="28"/>
          <w:szCs w:val="28"/>
        </w:rPr>
        <w:t>Расчет максимальной себестоимости 1 км пробега трамваев</w:t>
      </w:r>
    </w:p>
    <w:p>
      <w:pPr>
        <w:pStyle w:val="ConsPlusNormal"/>
        <w:spacing w:before="0" w:after="0"/>
        <w:ind w:left="0" w:right="0" w:firstLine="709"/>
        <w:rPr>
          <w:sz w:val="28"/>
          <w:szCs w:val="28"/>
        </w:rPr>
      </w:pPr>
      <w:r>
        <w:rPr>
          <w:sz w:val="28"/>
          <w:szCs w:val="28"/>
        </w:rPr>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1. Максимальная себестоимость 1 км пробега транспортных средств i-го класса в t-ый год срока действия контракта (</w:t>
      </w:r>
      <w:r>
        <w:rPr>
          <w:i/>
          <w:iCs/>
          <w:sz w:val="28"/>
          <w:szCs w:val="28"/>
        </w:rPr>
        <w:t>S</w:t>
      </w:r>
      <w:r>
        <w:rPr>
          <w:i/>
          <w:iCs/>
          <w:sz w:val="28"/>
          <w:szCs w:val="28"/>
          <w:vertAlign w:val="subscript"/>
        </w:rPr>
        <w:t>ti</w:t>
      </w:r>
      <w:r>
        <w:rPr>
          <w:sz w:val="28"/>
          <w:szCs w:val="28"/>
        </w:rPr>
        <w:t>) определяется по формуле (1).</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drawing>
          <wp:inline distT="0" distB="0" distL="0" distR="0">
            <wp:extent cx="5573395" cy="285115"/>
            <wp:effectExtent l="0" t="0" r="0" b="0"/>
            <wp:docPr id="123" name="Рисунок 1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Рисунок 134" descr=""/>
                    <pic:cNvPicPr>
                      <a:picLocks noChangeAspect="1" noChangeArrowheads="1"/>
                    </pic:cNvPicPr>
                  </pic:nvPicPr>
                  <pic:blipFill>
                    <a:blip r:embed="rId137"/>
                    <a:stretch>
                      <a:fillRect/>
                    </a:stretch>
                  </pic:blipFill>
                  <pic:spPr bwMode="auto">
                    <a:xfrm>
                      <a:off x="0" y="0"/>
                      <a:ext cx="5573395" cy="285115"/>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424180" cy="278130"/>
            <wp:effectExtent l="0" t="0" r="0" b="0"/>
            <wp:docPr id="124" name="Рисунок 1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Рисунок 135" descr=""/>
                    <pic:cNvPicPr>
                      <a:picLocks noChangeAspect="1" noChangeArrowheads="1"/>
                    </pic:cNvPicPr>
                  </pic:nvPicPr>
                  <pic:blipFill>
                    <a:blip r:embed="rId138"/>
                    <a:stretch>
                      <a:fillRect/>
                    </a:stretch>
                  </pic:blipFill>
                  <pic:spPr bwMode="auto">
                    <a:xfrm>
                      <a:off x="0" y="0"/>
                      <a:ext cx="42418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519" w:tgtFrame="2. Расходы на оплату труда водителей транспортных средств i-го класса в t-ый год срока действия контракта в расчете на 1 км пробега (_) определяются по формуле (2).">
        <w:r>
          <w:rPr>
            <w:sz w:val="28"/>
            <w:szCs w:val="28"/>
          </w:rPr>
          <w:t>пунктом 2</w:t>
        </w:r>
      </w:hyperlink>
      <w:r>
        <w:rPr>
          <w:sz w:val="28"/>
          <w:szCs w:val="28"/>
        </w:rPr>
        <w:t xml:space="preserve"> настоящего приложения расходы на оплату труда водителей транспортных средств i-го класса в t-ый год срока действия контракта в расчете на 1 км пробега;</w:t>
      </w:r>
    </w:p>
    <w:p>
      <w:pPr>
        <w:pStyle w:val="ConsPlusNormal"/>
        <w:spacing w:before="0" w:after="0"/>
        <w:ind w:left="0" w:right="0" w:firstLine="709"/>
        <w:jc w:val="both"/>
        <w:rPr/>
      </w:pPr>
      <w:r>
        <w:rPr/>
        <w:drawing>
          <wp:inline distT="0" distB="0" distL="0" distR="0">
            <wp:extent cx="409575" cy="278130"/>
            <wp:effectExtent l="0" t="0" r="0" b="0"/>
            <wp:docPr id="125" name="Рисунок 1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Рисунок 136" descr=""/>
                    <pic:cNvPicPr>
                      <a:picLocks noChangeAspect="1" noChangeArrowheads="1"/>
                    </pic:cNvPicPr>
                  </pic:nvPicPr>
                  <pic:blipFill>
                    <a:blip r:embed="rId139"/>
                    <a:stretch>
                      <a:fillRect/>
                    </a:stretch>
                  </pic:blipFill>
                  <pic:spPr bwMode="auto">
                    <a:xfrm>
                      <a:off x="0" y="0"/>
                      <a:ext cx="40957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586" w:tgtFrame="4. Расходы на оплату труда кондукторов транспортных средств в t-ый год срока действия контракта в расчете на 1 км пробега определяются по формуле (4).">
        <w:r>
          <w:rPr>
            <w:sz w:val="28"/>
            <w:szCs w:val="28"/>
          </w:rPr>
          <w:t>пунктом 4</w:t>
        </w:r>
      </w:hyperlink>
      <w:r>
        <w:rPr>
          <w:sz w:val="28"/>
          <w:szCs w:val="28"/>
        </w:rPr>
        <w:t xml:space="preserve"> настоящего приложения расходы на оплату труда кондукторов транспортных средств в t-ый год срока действия контракта в расчете на 1 км пробега;</w:t>
      </w:r>
    </w:p>
    <w:p>
      <w:pPr>
        <w:pStyle w:val="ConsPlusNormal"/>
        <w:spacing w:before="0" w:after="0"/>
        <w:ind w:left="0" w:right="0" w:firstLine="709"/>
        <w:jc w:val="both"/>
        <w:rPr/>
      </w:pPr>
      <w:r>
        <w:rPr/>
        <w:drawing>
          <wp:inline distT="0" distB="0" distL="0" distR="0">
            <wp:extent cx="336550" cy="278130"/>
            <wp:effectExtent l="0" t="0" r="0" b="0"/>
            <wp:docPr id="126" name="Рисунок 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Рисунок 137" descr=""/>
                    <pic:cNvPicPr>
                      <a:picLocks noChangeAspect="1" noChangeArrowheads="1"/>
                    </pic:cNvPicPr>
                  </pic:nvPicPr>
                  <pic:blipFill>
                    <a:blip r:embed="rId140"/>
                    <a:stretch>
                      <a:fillRect/>
                    </a:stretch>
                  </pic:blipFill>
                  <pic:spPr bwMode="auto">
                    <a:xfrm>
                      <a:off x="0" y="0"/>
                      <a:ext cx="33655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607" w:tgtFrame="6. Отчисления на социальные нужды от оплаты труда водителей и кондукторов транспортных средств i-го класса в t-ый год срока действия контракта в расчете на 1 км пробега (_) определяются по формуле (6).">
        <w:r>
          <w:rPr>
            <w:sz w:val="28"/>
            <w:szCs w:val="28"/>
          </w:rPr>
          <w:t>пунктом 6</w:t>
        </w:r>
      </w:hyperlink>
      <w:r>
        <w:rPr>
          <w:sz w:val="28"/>
          <w:szCs w:val="28"/>
        </w:rPr>
        <w:t xml:space="preserve"> настоящего приложения отчисления на социальные нужды от оплаты труда водителей и кондукторов транспортных средств i-го класса в t-ый год срока действия контракта в расчете на 1 км пробега;</w:t>
      </w:r>
    </w:p>
    <w:p>
      <w:pPr>
        <w:pStyle w:val="ConsPlusNormal"/>
        <w:spacing w:before="0" w:after="0"/>
        <w:ind w:left="0" w:right="0" w:firstLine="709"/>
        <w:jc w:val="both"/>
        <w:rPr/>
      </w:pPr>
      <w:r>
        <w:rPr/>
        <w:drawing>
          <wp:inline distT="0" distB="0" distL="0" distR="0">
            <wp:extent cx="278130" cy="278130"/>
            <wp:effectExtent l="0" t="0" r="0" b="0"/>
            <wp:docPr id="127" name="Рисунок 1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Рисунок 138" descr=""/>
                    <pic:cNvPicPr>
                      <a:picLocks noChangeAspect="1" noChangeArrowheads="1"/>
                    </pic:cNvPicPr>
                  </pic:nvPicPr>
                  <pic:blipFill>
                    <a:blip r:embed="rId141"/>
                    <a:stretch>
                      <a:fillRect/>
                    </a:stretch>
                  </pic:blipFill>
                  <pic:spPr bwMode="auto">
                    <a:xfrm>
                      <a:off x="0" y="0"/>
                      <a:ext cx="27813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615" w:tgtFrame="7. Расходы на электроэнергию на движение транспортных средств i-го класса в t-ом году срока действия контракта в расчете на 1 км пробега (_) определяются по формуле (7).">
        <w:r>
          <w:rPr>
            <w:sz w:val="28"/>
            <w:szCs w:val="28"/>
          </w:rPr>
          <w:t>пунктом 7</w:t>
        </w:r>
      </w:hyperlink>
      <w:r>
        <w:rPr>
          <w:sz w:val="28"/>
          <w:szCs w:val="28"/>
        </w:rPr>
        <w:t xml:space="preserve"> настоящего приложения расходы на электроэнергию на движение транспортных средств i-го класса в t-ом году срока действия контракта в расчете на 1 км пробега;</w:t>
      </w:r>
    </w:p>
    <w:p>
      <w:pPr>
        <w:pStyle w:val="ConsPlusNormal"/>
        <w:spacing w:before="0" w:after="0"/>
        <w:ind w:left="0" w:right="0" w:firstLine="709"/>
        <w:jc w:val="both"/>
        <w:rPr/>
      </w:pPr>
      <w:r>
        <w:rPr/>
        <w:drawing>
          <wp:inline distT="0" distB="0" distL="0" distR="0">
            <wp:extent cx="365760" cy="278130"/>
            <wp:effectExtent l="0" t="0" r="0" b="0"/>
            <wp:docPr id="128" name="Рисунок 1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Рисунок 139" descr=""/>
                    <pic:cNvPicPr>
                      <a:picLocks noChangeAspect="1" noChangeArrowheads="1"/>
                    </pic:cNvPicPr>
                  </pic:nvPicPr>
                  <pic:blipFill>
                    <a:blip r:embed="rId142"/>
                    <a:stretch>
                      <a:fillRect/>
                    </a:stretch>
                  </pic:blipFill>
                  <pic:spPr bwMode="auto">
                    <a:xfrm>
                      <a:off x="0" y="0"/>
                      <a:ext cx="36576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624" w:tgtFrame="8. Расходы на техническое обслуживание и ремонт транспортных средств i-го класса в t-ый год срока действия контракта в расчете на 1 км пробега (_) определяются по формуле (8).">
        <w:r>
          <w:rPr>
            <w:sz w:val="28"/>
            <w:szCs w:val="28"/>
          </w:rPr>
          <w:t>пунктом 8</w:t>
        </w:r>
      </w:hyperlink>
      <w:r>
        <w:rPr>
          <w:sz w:val="28"/>
          <w:szCs w:val="28"/>
        </w:rPr>
        <w:t xml:space="preserve"> настоящего приложения расходы на техническое обслуживание и ремонт транспортных средств i-го класса в t-ый год срока действия контракта в расчете на 1 км пробега;</w:t>
      </w:r>
    </w:p>
    <w:p>
      <w:pPr>
        <w:pStyle w:val="ConsPlusNormal"/>
        <w:spacing w:before="0" w:after="0"/>
        <w:ind w:left="0" w:right="0" w:firstLine="709"/>
        <w:jc w:val="both"/>
        <w:rPr/>
      </w:pPr>
      <w:r>
        <w:rPr/>
        <w:drawing>
          <wp:inline distT="0" distB="0" distL="0" distR="0">
            <wp:extent cx="314325" cy="278130"/>
            <wp:effectExtent l="0" t="0" r="0" b="0"/>
            <wp:docPr id="129" name="Рисунок 1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Рисунок 140" descr=""/>
                    <pic:cNvPicPr>
                      <a:picLocks noChangeAspect="1" noChangeArrowheads="1"/>
                    </pic:cNvPicPr>
                  </pic:nvPicPr>
                  <pic:blipFill>
                    <a:blip r:embed="rId143"/>
                    <a:stretch>
                      <a:fillRect/>
                    </a:stretch>
                  </pic:blipFill>
                  <pic:spPr bwMode="auto">
                    <a:xfrm>
                      <a:off x="0" y="0"/>
                      <a:ext cx="31432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699" w:tgtFrame="12. Расходы на содержание контактно-кабельной сети в t-ом году срока действия контракта в расчете на 1 км пробега (_) определяются по формуле (12).">
        <w:r>
          <w:rPr>
            <w:sz w:val="28"/>
            <w:szCs w:val="28"/>
          </w:rPr>
          <w:t>пунктом 12</w:t>
        </w:r>
      </w:hyperlink>
      <w:r>
        <w:rPr>
          <w:sz w:val="28"/>
          <w:szCs w:val="28"/>
        </w:rPr>
        <w:t xml:space="preserve"> настоящего приложения расходы на содержание контактно-кабельной сети в t-ом году срока действия контракта в расчете на 1 км пробега;</w:t>
      </w:r>
    </w:p>
    <w:p>
      <w:pPr>
        <w:pStyle w:val="ConsPlusNormal"/>
        <w:spacing w:before="0" w:after="0"/>
        <w:ind w:left="0" w:right="0" w:firstLine="709"/>
        <w:jc w:val="both"/>
        <w:rPr/>
      </w:pPr>
      <w:r>
        <w:rPr/>
        <w:drawing>
          <wp:inline distT="0" distB="0" distL="0" distR="0">
            <wp:extent cx="336550" cy="278130"/>
            <wp:effectExtent l="0" t="0" r="0" b="0"/>
            <wp:docPr id="130" name="Рисунок 1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Рисунок 141" descr=""/>
                    <pic:cNvPicPr>
                      <a:picLocks noChangeAspect="1" noChangeArrowheads="1"/>
                    </pic:cNvPicPr>
                  </pic:nvPicPr>
                  <pic:blipFill>
                    <a:blip r:embed="rId144"/>
                    <a:stretch>
                      <a:fillRect/>
                    </a:stretch>
                  </pic:blipFill>
                  <pic:spPr bwMode="auto">
                    <a:xfrm>
                      <a:off x="0" y="0"/>
                      <a:ext cx="33655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757" w:tgtFrame="13. Расходы на содержание тяговых подстанций в t-ом году срока действия контракта в расчете на 1 км пробега (_) определяются по формуле (13).">
        <w:r>
          <w:rPr>
            <w:sz w:val="28"/>
            <w:szCs w:val="28"/>
          </w:rPr>
          <w:t>пунктом 13</w:t>
        </w:r>
      </w:hyperlink>
      <w:r>
        <w:rPr>
          <w:sz w:val="28"/>
          <w:szCs w:val="28"/>
        </w:rPr>
        <w:t xml:space="preserve"> настоящего приложения расходы на содержание тяговых подстанций в t-ом году срока действия контракта в расчете на 1 км пробега;</w:t>
      </w:r>
    </w:p>
    <w:p>
      <w:pPr>
        <w:pStyle w:val="ConsPlusNormal"/>
        <w:spacing w:before="0" w:after="0"/>
        <w:ind w:left="0" w:right="0" w:firstLine="709"/>
        <w:jc w:val="both"/>
        <w:rPr/>
      </w:pPr>
      <w:r>
        <w:rPr/>
        <w:drawing>
          <wp:inline distT="0" distB="0" distL="0" distR="0">
            <wp:extent cx="285115" cy="278130"/>
            <wp:effectExtent l="0" t="0" r="0" b="0"/>
            <wp:docPr id="131" name="Рисунок 1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Рисунок 142" descr=""/>
                    <pic:cNvPicPr>
                      <a:picLocks noChangeAspect="1" noChangeArrowheads="1"/>
                    </pic:cNvPicPr>
                  </pic:nvPicPr>
                  <pic:blipFill>
                    <a:blip r:embed="rId145"/>
                    <a:stretch>
                      <a:fillRect/>
                    </a:stretch>
                  </pic:blipFill>
                  <pic:spPr bwMode="auto">
                    <a:xfrm>
                      <a:off x="0" y="0"/>
                      <a:ext cx="28511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767" w:tgtFrame="14. Расходы на содержание и ремонт трамвайного пути в t-ом году срока действия контракта в расчете на 1 км пробега (_) рассчитывают по формуле (14).">
        <w:r>
          <w:rPr>
            <w:sz w:val="28"/>
            <w:szCs w:val="28"/>
          </w:rPr>
          <w:t>пунктом 14</w:t>
        </w:r>
      </w:hyperlink>
      <w:r>
        <w:rPr>
          <w:sz w:val="28"/>
          <w:szCs w:val="28"/>
        </w:rPr>
        <w:t xml:space="preserve"> настоящего приложения расходы на содержание и ремонт трамвайного пути в t-ом году срока действия контракта в расчете на 1 км пробега;</w:t>
      </w:r>
    </w:p>
    <w:p>
      <w:pPr>
        <w:pStyle w:val="ConsPlusNormal"/>
        <w:spacing w:before="0" w:after="0"/>
        <w:ind w:left="0" w:right="0" w:firstLine="709"/>
        <w:jc w:val="both"/>
        <w:rPr/>
      </w:pPr>
      <w:r>
        <w:rPr/>
        <w:drawing>
          <wp:inline distT="0" distB="0" distL="0" distR="0">
            <wp:extent cx="358140" cy="285115"/>
            <wp:effectExtent l="0" t="0" r="0" b="0"/>
            <wp:docPr id="132" name="Рисунок 1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Рисунок 143" descr=""/>
                    <pic:cNvPicPr>
                      <a:picLocks noChangeAspect="1" noChangeArrowheads="1"/>
                    </pic:cNvPicPr>
                  </pic:nvPicPr>
                  <pic:blipFill>
                    <a:blip r:embed="rId146"/>
                    <a:stretch>
                      <a:fillRect/>
                    </a:stretch>
                  </pic:blipFill>
                  <pic:spPr bwMode="auto">
                    <a:xfrm>
                      <a:off x="0" y="0"/>
                      <a:ext cx="358140"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779" w:tgtFrame="15. Расходы на содержание службы движения в t-ом году срока действия контракта в расчете на 1 км пробега (_) определяются по формуле (15).">
        <w:r>
          <w:rPr>
            <w:sz w:val="28"/>
            <w:szCs w:val="28"/>
          </w:rPr>
          <w:t>пунктом 15</w:t>
        </w:r>
      </w:hyperlink>
      <w:r>
        <w:rPr>
          <w:sz w:val="28"/>
          <w:szCs w:val="28"/>
        </w:rPr>
        <w:t xml:space="preserve"> настоящего приложения расходы на содержание службы движения в t-ом году срока действия контракта в расчете на 1 км пробега;</w:t>
      </w:r>
    </w:p>
    <w:p>
      <w:pPr>
        <w:pStyle w:val="ConsPlusNormal"/>
        <w:spacing w:before="0" w:after="0"/>
        <w:ind w:left="0" w:right="0" w:firstLine="709"/>
        <w:jc w:val="both"/>
        <w:rPr/>
      </w:pPr>
      <w:r>
        <w:rPr/>
        <w:drawing>
          <wp:inline distT="0" distB="0" distL="0" distR="0">
            <wp:extent cx="497205" cy="278130"/>
            <wp:effectExtent l="0" t="0" r="0" b="0"/>
            <wp:docPr id="133" name="Рисунок 1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Рисунок 144" descr=""/>
                    <pic:cNvPicPr>
                      <a:picLocks noChangeAspect="1" noChangeArrowheads="1"/>
                    </pic:cNvPicPr>
                  </pic:nvPicPr>
                  <pic:blipFill>
                    <a:blip r:embed="rId147"/>
                    <a:stretch>
                      <a:fillRect/>
                    </a:stretch>
                  </pic:blipFill>
                  <pic:spPr bwMode="auto">
                    <a:xfrm>
                      <a:off x="0" y="0"/>
                      <a:ext cx="49720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790" w:tgtFrame="16. Прочие расходы по обычным видам деятельности в сумме с косвенными расходами для транспортных средств i-го класса в t-ом году срока действия контракта в расчете на 1 км пробега (_) определяется по формуле (16).">
        <w:r>
          <w:rPr>
            <w:sz w:val="28"/>
            <w:szCs w:val="28"/>
          </w:rPr>
          <w:t>пунктом 16</w:t>
        </w:r>
      </w:hyperlink>
      <w:r>
        <w:rPr>
          <w:sz w:val="28"/>
          <w:szCs w:val="28"/>
        </w:rPr>
        <w:t xml:space="preserve"> настоящего приложения прочие расходы по обычным видам деятельности в сумме с косвенными расходами для транспортных средств i-го класса в t-ом году срока действия контракта в расчете на 1 км пробега.</w:t>
      </w:r>
    </w:p>
    <w:p>
      <w:pPr>
        <w:pStyle w:val="ConsPlusNormal"/>
        <w:spacing w:before="0" w:after="0"/>
        <w:ind w:left="0" w:right="0" w:firstLine="709"/>
        <w:jc w:val="both"/>
        <w:rPr/>
      </w:pPr>
      <w:r>
        <w:rPr>
          <w:sz w:val="28"/>
          <w:szCs w:val="28"/>
        </w:rPr>
        <w:t>Каждое из слагаемых формулы (1) включается в состав себестоимости пробега по контракту только в случае, если контрактом на перевозчика возлагается обязанность выполнять соответствующий вид деятельности. При расчете каждого слагаемого необходимо учитывать период, в течение которого на перевозчика возложена соответствующая обязанность.</w:t>
      </w:r>
    </w:p>
    <w:p>
      <w:pPr>
        <w:pStyle w:val="ConsPlusNormal"/>
        <w:spacing w:before="0" w:after="0"/>
        <w:ind w:left="0" w:right="0" w:firstLine="709"/>
        <w:jc w:val="both"/>
        <w:rPr/>
      </w:pPr>
      <w:bookmarkStart w:id="24" w:name="Par519"/>
      <w:bookmarkEnd w:id="24"/>
      <w:r>
        <w:rPr>
          <w:sz w:val="28"/>
          <w:szCs w:val="28"/>
        </w:rPr>
        <w:t>2. Расходы на оплату труда водителей транспортных средств i-го класса в t-ый год срока действия контракта в расчете на 1 км пробега (</w:t>
      </w:r>
      <w:r>
        <w:rPr>
          <w:i/>
          <w:iCs/>
          <w:sz w:val="28"/>
          <w:szCs w:val="28"/>
        </w:rPr>
        <w:t>Р</w:t>
      </w:r>
      <w:r>
        <w:rPr>
          <w:rFonts w:eastAsia="" w:cs="Times New Roman" w:eastAsiaTheme="minorEastAsia"/>
          <w:i/>
          <w:iCs/>
          <w:color w:val="auto"/>
          <w:kern w:val="0"/>
          <w:sz w:val="28"/>
          <w:szCs w:val="28"/>
          <w:vertAlign w:val="subscript"/>
          <w:lang w:val="ru-RU" w:eastAsia="ru-RU" w:bidi="ar-SA"/>
        </w:rPr>
        <w:t>ОТВ</w:t>
      </w:r>
      <w:r>
        <w:rPr>
          <w:i/>
          <w:iCs/>
          <w:sz w:val="28"/>
          <w:szCs w:val="28"/>
          <w:vertAlign w:val="subscript"/>
        </w:rPr>
        <w:t>ti</w:t>
      </w:r>
      <w:r>
        <w:rPr>
          <w:sz w:val="28"/>
          <w:szCs w:val="28"/>
        </w:rPr>
        <w:t>) определяются</w:t>
        <w:br/>
        <w:t>по формуле (2).</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r>
      <m:oMath xmlns:m="http://schemas.openxmlformats.org/officeDocument/2006/math">
        <m:sSub>
          <m:e>
            <m:r>
              <w:rPr>
                <w:rFonts w:ascii="Cambria Math" w:hAnsi="Cambria Math"/>
              </w:rPr>
              <m:t xml:space="preserve">P</m:t>
            </m:r>
          </m:e>
          <m:sub>
            <m:r>
              <w:rPr>
                <w:rFonts w:ascii="Cambria Math" w:hAnsi="Cambria Math"/>
              </w:rPr>
              <m:t xml:space="preserve">ОТВ</m:t>
            </m:r>
            <m:r>
              <w:rPr>
                <w:rFonts w:ascii="Cambria Math" w:hAnsi="Cambria Math"/>
              </w:rPr>
              <m:t xml:space="preserve">ti</m:t>
            </m:r>
          </m:sub>
        </m:sSub>
        <m:r>
          <w:rPr>
            <w:rFonts w:ascii="Cambria Math" w:hAnsi="Cambria Math"/>
          </w:rPr>
          <m:t xml:space="preserve">=</m:t>
        </m:r>
        <m:f>
          <m:num>
            <m:r>
              <w:rPr>
                <w:rFonts w:ascii="Cambria Math" w:hAnsi="Cambria Math"/>
              </w:rPr>
              <m:t xml:space="preserve">12</m:t>
            </m:r>
            <m:r>
              <w:rPr>
                <w:rFonts w:ascii="Cambria Math" w:hAnsi="Cambria Math"/>
              </w:rPr>
              <m:t xml:space="preserve">×</m:t>
            </m:r>
            <m:sSub>
              <m:e>
                <m:r>
                  <w:rPr>
                    <w:rFonts w:ascii="Cambria Math" w:hAnsi="Cambria Math"/>
                  </w:rPr>
                  <m:t xml:space="preserve">ЗПВ</m:t>
                </m:r>
              </m:e>
              <m:sub>
                <m:r>
                  <w:rPr>
                    <w:rFonts w:ascii="Cambria Math" w:hAnsi="Cambria Math"/>
                  </w:rPr>
                  <m:t xml:space="preserve">i</m:t>
                </m:r>
              </m:sub>
            </m:sSub>
          </m:num>
          <m:den>
            <m:sSub>
              <m:e>
                <m:r>
                  <w:rPr>
                    <w:rFonts w:ascii="Cambria Math" w:hAnsi="Cambria Math"/>
                  </w:rPr>
                  <m:t xml:space="preserve">ФРВ</m:t>
                </m:r>
              </m:e>
              <m:sub>
                <m:r>
                  <w:rPr>
                    <w:rFonts w:ascii="Cambria Math" w:hAnsi="Cambria Math"/>
                  </w:rPr>
                  <m:t xml:space="preserve">в</m:t>
                </m:r>
              </m:sub>
            </m:sSub>
          </m:den>
        </m:f>
        <m:r>
          <w:rPr>
            <w:rFonts w:ascii="Cambria Math" w:hAnsi="Cambria Math"/>
          </w:rPr>
          <m:t xml:space="preserve">×</m:t>
        </m:r>
        <m:sSub>
          <m:e>
            <m:r>
              <w:rPr>
                <w:rFonts w:ascii="Cambria Math" w:hAnsi="Cambria Math"/>
              </w:rPr>
              <m:t xml:space="preserve">АЧ</m:t>
            </m:r>
          </m:e>
          <m:sub>
            <m:r>
              <w:rPr>
                <w:rFonts w:ascii="Cambria Math" w:hAnsi="Cambria Math"/>
              </w:rPr>
              <m:t xml:space="preserve">ti</m:t>
            </m:r>
          </m:sub>
        </m:sSub>
        <m:r>
          <w:rPr>
            <w:rFonts w:ascii="Cambria Math" w:hAnsi="Cambria Math"/>
          </w:rPr>
          <m:t xml:space="preserve">×</m:t>
        </m:r>
        <m:sSub>
          <m:e>
            <m:r>
              <w:rPr>
                <w:rFonts w:ascii="Cambria Math" w:hAnsi="Cambria Math"/>
              </w:rPr>
              <m:t xml:space="preserve">k</m:t>
            </m:r>
          </m:e>
          <m:sub>
            <m:r>
              <w:rPr>
                <w:rFonts w:ascii="Cambria Math" w:hAnsi="Cambria Math"/>
              </w:rPr>
              <m:t xml:space="preserve">пз</m:t>
            </m:r>
          </m:sub>
        </m:sSub>
        <m:r>
          <w:rPr>
            <w:rFonts w:ascii="Cambria Math" w:hAnsi="Cambria Math"/>
          </w:rPr>
          <m:t xml:space="preserve">×</m:t>
        </m:r>
        <m:f>
          <m:fPr>
            <m:type m:val="lin"/>
          </m:fPr>
          <m:num>
            <m:sSub>
              <m:e>
                <m:r>
                  <w:rPr>
                    <w:rFonts w:ascii="Cambria Math" w:hAnsi="Cambria Math"/>
                  </w:rPr>
                  <m:t xml:space="preserve">I</m:t>
                </m:r>
              </m:e>
              <m:sub>
                <m:r>
                  <w:rPr>
                    <w:rFonts w:ascii="Cambria Math" w:hAnsi="Cambria Math"/>
                  </w:rPr>
                  <m:t xml:space="preserve">пц</m:t>
                </m:r>
                <m:r>
                  <w:rPr>
                    <w:rFonts w:ascii="Cambria Math" w:hAnsi="Cambria Math"/>
                  </w:rPr>
                  <m:t xml:space="preserve">t</m:t>
                </m:r>
              </m:sub>
            </m:sSub>
          </m:num>
          <m:den>
            <m:sSub>
              <m:e>
                <m:r>
                  <w:rPr>
                    <w:rFonts w:ascii="Cambria Math" w:hAnsi="Cambria Math"/>
                  </w:rPr>
                  <m:t xml:space="preserve">L</m:t>
                </m:r>
              </m:e>
              <m:sub>
                <m:r>
                  <w:rPr>
                    <w:rFonts w:ascii="Cambria Math" w:hAnsi="Cambria Math"/>
                  </w:rPr>
                  <m:t xml:space="preserve">ti</m:t>
                </m:r>
              </m:sub>
            </m:sSub>
          </m:den>
        </m:f>
      </m:oMath>
      <w:r>
        <w:rPr>
          <w:sz w:val="28"/>
          <w:szCs w:val="28"/>
        </w:rPr>
        <w:t>, руб./км (2)</w:t>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sz w:val="28"/>
          <w:szCs w:val="28"/>
        </w:rPr>
        <w:t>12 - количество месяцев в году;</w:t>
      </w:r>
    </w:p>
    <w:p>
      <w:pPr>
        <w:pStyle w:val="ConsPlusNormal"/>
        <w:spacing w:before="0" w:after="0"/>
        <w:ind w:left="0" w:right="0" w:firstLine="709"/>
        <w:jc w:val="both"/>
        <w:rPr/>
      </w:pPr>
      <w:r>
        <w:rPr/>
        <w:drawing>
          <wp:inline distT="0" distB="0" distL="0" distR="0">
            <wp:extent cx="424180" cy="278130"/>
            <wp:effectExtent l="0" t="0" r="0" b="0"/>
            <wp:docPr id="134" name="Рисунок 1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Рисунок 147" descr=""/>
                    <pic:cNvPicPr>
                      <a:picLocks noChangeAspect="1" noChangeArrowheads="1"/>
                    </pic:cNvPicPr>
                  </pic:nvPicPr>
                  <pic:blipFill>
                    <a:blip r:embed="rId148"/>
                    <a:stretch>
                      <a:fillRect/>
                    </a:stretch>
                  </pic:blipFill>
                  <pic:spPr bwMode="auto">
                    <a:xfrm>
                      <a:off x="0" y="0"/>
                      <a:ext cx="42418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средняя месячная оплата труда водителя трамвая i-го класса (с учетом всех видов премий, надбавок и компенсаций), устанавливаемая на уровне не менее, чем определенном в соответствии с заключенным на территории соответствующего субъекта Российской Федерации, либо муниципального образования региональным, либо территориальным отраслевым соглашением в рамках реализации </w:t>
      </w:r>
      <w:hyperlink r:id="rId149">
        <w:r>
          <w:rPr>
            <w:sz w:val="28"/>
            <w:szCs w:val="28"/>
          </w:rPr>
          <w:t>статей 45</w:t>
        </w:r>
      </w:hyperlink>
      <w:r>
        <w:rPr>
          <w:sz w:val="28"/>
          <w:szCs w:val="28"/>
        </w:rPr>
        <w:t xml:space="preserve"> и </w:t>
      </w:r>
      <w:hyperlink r:id="rId150">
        <w:r>
          <w:rPr>
            <w:sz w:val="28"/>
            <w:szCs w:val="28"/>
          </w:rPr>
          <w:t>48</w:t>
        </w:r>
      </w:hyperlink>
      <w:r>
        <w:rPr>
          <w:sz w:val="28"/>
          <w:szCs w:val="28"/>
        </w:rPr>
        <w:t xml:space="preserve"> Трудового кодекса Российской Федерации, при отсутствии таких соглашений – на уровне не менее, чем определенном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 либо, при отсутствии такого заключенного соглашения - определенная в соответствии с пунктом 3 настоящего приложения;</w:t>
      </w:r>
    </w:p>
    <w:p>
      <w:pPr>
        <w:pStyle w:val="ConsPlusNormal"/>
        <w:spacing w:before="0" w:after="0"/>
        <w:ind w:left="0" w:right="0" w:firstLine="709"/>
        <w:jc w:val="both"/>
        <w:rPr/>
      </w:pPr>
      <w:r>
        <w:rPr/>
        <w:drawing>
          <wp:inline distT="0" distB="0" distL="0" distR="0">
            <wp:extent cx="402590" cy="278130"/>
            <wp:effectExtent l="0" t="0" r="0" b="0"/>
            <wp:docPr id="135" name="Рисунок 1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Рисунок 148" descr=""/>
                    <pic:cNvPicPr>
                      <a:picLocks noChangeAspect="1" noChangeArrowheads="1"/>
                    </pic:cNvPicPr>
                  </pic:nvPicPr>
                  <pic:blipFill>
                    <a:blip r:embed="rId151"/>
                    <a:stretch>
                      <a:fillRect/>
                    </a:stretch>
                  </pic:blipFill>
                  <pic:spPr bwMode="auto">
                    <a:xfrm>
                      <a:off x="0" y="0"/>
                      <a:ext cx="40259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планируемое количество часов работы трамваев i-го класса в t-ом году срока действия контракта (может определяться в соответствии с временем пробега по маршруту и частотой движения по периодам суток и дням недели, установленными Документом планирования регулярных перевозок для каждого из маршрутов, с учетом изменений планового времени пробега в период действия контракта при вводе выделенных полос транспорта общего пользования, иных мер по созданию приоритетных условий движения транспорта общего пользования), час.;</w:t>
      </w:r>
    </w:p>
    <w:p>
      <w:pPr>
        <w:pStyle w:val="ConsPlusNormal"/>
        <w:spacing w:before="0" w:after="0"/>
        <w:ind w:left="0" w:right="0" w:firstLine="709"/>
        <w:jc w:val="both"/>
        <w:rPr/>
      </w:pPr>
      <w:r>
        <w:rPr/>
        <w:drawing>
          <wp:inline distT="0" distB="0" distL="0" distR="0">
            <wp:extent cx="248920" cy="278130"/>
            <wp:effectExtent l="0" t="0" r="0" b="0"/>
            <wp:docPr id="136" name="Рисунок 1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Рисунок 149" descr=""/>
                    <pic:cNvPicPr>
                      <a:picLocks noChangeAspect="1" noChangeArrowheads="1"/>
                    </pic:cNvPicPr>
                  </pic:nvPicPr>
                  <pic:blipFill>
                    <a:blip r:embed="rId152"/>
                    <a:stretch>
                      <a:fillRect/>
                    </a:stretch>
                  </pic:blipFill>
                  <pic:spPr bwMode="auto">
                    <a:xfrm>
                      <a:off x="0" y="0"/>
                      <a:ext cx="24892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коэффициент, характеризующий продолжительность подготовительно-заключительного времени, времени прохождения предрейсовых инструктажей и медицинских осмотров водителя (при использовании автоматизированной системы контроля за оплатой проезда с оборудованием, ежедневно устанавливаемым и демонтируемым водителем на транспортные средства, принимается равным 1,08, в иных случаях - 1,06);</w:t>
      </w:r>
    </w:p>
    <w:p>
      <w:pPr>
        <w:pStyle w:val="ConsPlusNormal"/>
        <w:spacing w:before="0" w:after="0"/>
        <w:ind w:left="0" w:right="0" w:firstLine="709"/>
        <w:jc w:val="both"/>
        <w:rPr/>
      </w:pPr>
      <w:r>
        <w:rPr/>
        <w:drawing>
          <wp:inline distT="0" distB="0" distL="0" distR="0">
            <wp:extent cx="278130" cy="285115"/>
            <wp:effectExtent l="0" t="0" r="0" b="0"/>
            <wp:docPr id="137" name="Рисунок 1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Рисунок 150" descr=""/>
                    <pic:cNvPicPr>
                      <a:picLocks noChangeAspect="1" noChangeArrowheads="1"/>
                    </pic:cNvPicPr>
                  </pic:nvPicPr>
                  <pic:blipFill>
                    <a:blip r:embed="rId153"/>
                    <a:stretch>
                      <a:fillRect/>
                    </a:stretch>
                  </pic:blipFill>
                  <pic:spPr bwMode="auto">
                    <a:xfrm>
                      <a:off x="0" y="0"/>
                      <a:ext cx="278130"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индекс потребительских цен для t-ого года срока действия контракта, принимаемый в соответствии с публикуемыми Минэкономразвития России прогнозами социально-экономического развития Российской Федерации (если срок действия контракта превышает срок прогноза, индекс потребительских цен для каждого года срока действия контракта, не указанного в прогнозе, принимается равным индексу потребительских цен, указанному для последнего года прогноза);</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drawing>
          <wp:inline distT="0" distB="0" distL="0" distR="0">
            <wp:extent cx="219710" cy="278130"/>
            <wp:effectExtent l="0" t="0" r="0" b="0"/>
            <wp:docPr id="138" name="Рисунок 1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Рисунок 151" descr=""/>
                    <pic:cNvPicPr>
                      <a:picLocks noChangeAspect="1" noChangeArrowheads="1"/>
                    </pic:cNvPicPr>
                  </pic:nvPicPr>
                  <pic:blipFill>
                    <a:blip r:embed="rId154"/>
                    <a:stretch>
                      <a:fillRect/>
                    </a:stretch>
                  </pic:blipFill>
                  <pic:spPr bwMode="auto">
                    <a:xfrm>
                      <a:off x="0" y="0"/>
                      <a:ext cx="21971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предусмотренный контрактом планируемый пробег транспортных средств i-го класса в t-ом году срока действия контракта (может определяться в соответствии с длиной рейсов и частотой движения по периодам суток и дням недели, установленными Документом планирования регулярных перевозок для каждого из маршрутов, с учетом планируемых изменений трасс и параметров движения в период исполнения контракта), км;</w:t>
      </w:r>
    </w:p>
    <w:p>
      <w:pPr>
        <w:pStyle w:val="ConsPlusNormal"/>
        <w:spacing w:before="0" w:after="0"/>
        <w:ind w:left="0" w:right="0" w:firstLine="709"/>
        <w:jc w:val="both"/>
        <w:rPr/>
      </w:pPr>
      <w:r>
        <w:rPr/>
        <w:drawing>
          <wp:inline distT="0" distB="0" distL="0" distR="0">
            <wp:extent cx="461010" cy="278130"/>
            <wp:effectExtent l="0" t="0" r="0" b="0"/>
            <wp:docPr id="139" name="Рисунок 1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Рисунок 152" descr=""/>
                    <pic:cNvPicPr>
                      <a:picLocks noChangeAspect="1" noChangeArrowheads="1"/>
                    </pic:cNvPicPr>
                  </pic:nvPicPr>
                  <pic:blipFill>
                    <a:blip r:embed="rId155"/>
                    <a:stretch>
                      <a:fillRect/>
                    </a:stretch>
                  </pic:blipFill>
                  <pic:spPr bwMode="auto">
                    <a:xfrm>
                      <a:off x="0" y="0"/>
                      <a:ext cx="46101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годовой фонд рабочего времени водителя транспортных средств при соблюдении нормальной, 40 часовой, продолжительности рабочего времени в неделю, с учетом ежегодного отпуска 28 календарных дней и обязательного дополнительно предоставляемого водителям отпуска 7 календарных дней (принимается равным 1772 часа).</w:t>
      </w:r>
    </w:p>
    <w:p>
      <w:pPr>
        <w:pStyle w:val="ConsPlusNormal"/>
        <w:spacing w:before="0" w:after="0"/>
        <w:ind w:left="0" w:right="0" w:firstLine="709"/>
        <w:jc w:val="both"/>
        <w:rPr/>
      </w:pPr>
      <w:bookmarkStart w:id="25" w:name="Par538"/>
      <w:bookmarkEnd w:id="25"/>
      <w:r>
        <w:rPr>
          <w:sz w:val="28"/>
          <w:szCs w:val="28"/>
        </w:rPr>
        <w:t xml:space="preserve">3. При отсутствии на территории соответствующего субъекта Российской Федерации либо муниципального образования регионального либо территориального отраслевого соглашения, заключенного в рамках реализации </w:t>
      </w:r>
      <w:hyperlink r:id="rId156">
        <w:r>
          <w:rPr>
            <w:sz w:val="28"/>
            <w:szCs w:val="28"/>
          </w:rPr>
          <w:t>статей 45</w:t>
        </w:r>
      </w:hyperlink>
      <w:r>
        <w:rPr>
          <w:sz w:val="28"/>
          <w:szCs w:val="28"/>
        </w:rPr>
        <w:t xml:space="preserve"> и </w:t>
      </w:r>
      <w:hyperlink r:id="rId157">
        <w:r>
          <w:rPr>
            <w:sz w:val="28"/>
            <w:szCs w:val="28"/>
          </w:rPr>
          <w:t>48</w:t>
        </w:r>
      </w:hyperlink>
      <w:r>
        <w:rPr>
          <w:sz w:val="28"/>
          <w:szCs w:val="28"/>
        </w:rPr>
        <w:t xml:space="preserve"> Трудового кодекса Российской Федерации и Федерального отраслевого </w:t>
      </w:r>
      <w:hyperlink r:id="rId158">
        <w:r>
          <w:rPr>
            <w:sz w:val="28"/>
            <w:szCs w:val="28"/>
          </w:rPr>
          <w:t>соглашения</w:t>
        </w:r>
      </w:hyperlink>
      <w:r>
        <w:rPr>
          <w:sz w:val="28"/>
          <w:szCs w:val="28"/>
        </w:rPr>
        <w:t xml:space="preserve"> по автомобильному и городскому наземному пассажирскому транспорту или Отраслевого </w:t>
      </w:r>
      <w:hyperlink r:id="rId159">
        <w:r>
          <w:rPr>
            <w:sz w:val="28"/>
            <w:szCs w:val="28"/>
          </w:rPr>
          <w:t>соглашения</w:t>
        </w:r>
      </w:hyperlink>
      <w:r>
        <w:rPr>
          <w:sz w:val="28"/>
          <w:szCs w:val="28"/>
        </w:rPr>
        <w:t xml:space="preserve"> по организациям наземного городского электрического транспорта Российской Федерации, средняя месячная оплата труда водителя трамвая i-го класса (с учетом всех видов премий, надбавок и компенсаций) выбирается наибольшая из определенной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 (для водителей трамвая соответствующего класса), либо определяется по формуле (3).</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2757805" cy="278130"/>
            <wp:effectExtent l="0" t="0" r="0" b="0"/>
            <wp:docPr id="140" name="Рисунок 1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Рисунок 153" descr=""/>
                    <pic:cNvPicPr>
                      <a:picLocks noChangeAspect="1" noChangeArrowheads="1"/>
                    </pic:cNvPicPr>
                  </pic:nvPicPr>
                  <pic:blipFill>
                    <a:blip r:embed="rId69"/>
                    <a:stretch>
                      <a:fillRect/>
                    </a:stretch>
                  </pic:blipFill>
                  <pic:spPr bwMode="auto">
                    <a:xfrm>
                      <a:off x="0" y="0"/>
                      <a:ext cx="2757805" cy="278130"/>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409575" cy="219710"/>
            <wp:effectExtent l="0" t="0" r="0" b="0"/>
            <wp:docPr id="141" name="Рисунок 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Рисунок 154" descr=""/>
                    <pic:cNvPicPr>
                      <a:picLocks noChangeAspect="1" noChangeArrowheads="1"/>
                    </pic:cNvPicPr>
                  </pic:nvPicPr>
                  <pic:blipFill>
                    <a:blip r:embed="rId160"/>
                    <a:stretch>
                      <a:fillRect/>
                    </a:stretch>
                  </pic:blipFill>
                  <pic:spPr bwMode="auto">
                    <a:xfrm>
                      <a:off x="0" y="0"/>
                      <a:ext cx="409575" cy="21971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(для муниципальных маршрутов в границах поселения,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административно-территориальных единиц субъекта Российской Федерации, для муниципальных маршрутов в границах субъектов Российской Федерации </w:t>
      </w:r>
      <w:r>
        <w:rPr>
          <w:rFonts w:eastAsia="" w:cs="Times New Roman" w:eastAsiaTheme="minorEastAsia"/>
          <w:color w:val="auto"/>
          <w:kern w:val="0"/>
          <w:sz w:val="28"/>
          <w:szCs w:val="28"/>
          <w:lang w:val="ru-RU" w:eastAsia="ru-RU" w:bidi="ar-SA"/>
        </w:rPr>
        <w:t>−</w:t>
      </w:r>
      <w:r>
        <w:rPr>
          <w:sz w:val="28"/>
          <w:szCs w:val="28"/>
        </w:rPr>
        <w:t xml:space="preserve"> городов федерального значения Москвы, Санкт-Петербурга или Севастополя в соответствии с данными Росстата в отношении указанных субъектов Российской Федерации, для межмуниципальных маршрутов в границах субъекта Российской Федерации </w:t>
      </w:r>
      <w:r>
        <w:rPr>
          <w:rFonts w:eastAsia="" w:cs="Times New Roman" w:eastAsiaTheme="minorEastAsia"/>
          <w:color w:val="auto"/>
          <w:kern w:val="0"/>
          <w:sz w:val="28"/>
          <w:szCs w:val="28"/>
          <w:lang w:val="ru-RU" w:eastAsia="ru-RU" w:bidi="ar-SA"/>
        </w:rPr>
        <w:t>−</w:t>
      </w:r>
      <w:r>
        <w:rPr>
          <w:sz w:val="28"/>
          <w:szCs w:val="28"/>
        </w:rPr>
        <w:t xml:space="preserve"> в соответствии с данными Росстата в отношении этого субъекта Российской Федерации, для смежных межрегиональных маршрутов в сообщении с субъектами Российской Федерации </w:t>
      </w:r>
      <w:r>
        <w:rPr>
          <w:rFonts w:eastAsia="" w:cs="Times New Roman" w:eastAsiaTheme="minorEastAsia"/>
          <w:color w:val="auto"/>
          <w:kern w:val="0"/>
          <w:sz w:val="28"/>
          <w:szCs w:val="28"/>
          <w:lang w:val="ru-RU" w:eastAsia="ru-RU" w:bidi="ar-SA"/>
        </w:rPr>
        <w:t>−</w:t>
      </w:r>
      <w:r>
        <w:rPr>
          <w:sz w:val="28"/>
          <w:szCs w:val="28"/>
        </w:rPr>
        <w:t xml:space="preserve"> городами федерального значения Москвой, Санкт-Петербургом или Севастополем </w:t>
      </w:r>
      <w:r>
        <w:rPr>
          <w:rFonts w:eastAsia="" w:cs="Times New Roman" w:eastAsiaTheme="minorEastAsia"/>
          <w:color w:val="auto"/>
          <w:kern w:val="0"/>
          <w:sz w:val="28"/>
          <w:szCs w:val="28"/>
          <w:lang w:val="ru-RU" w:eastAsia="ru-RU" w:bidi="ar-SA"/>
        </w:rPr>
        <w:t>−</w:t>
        <w:br/>
      </w:r>
      <w:r>
        <w:rPr>
          <w:sz w:val="28"/>
          <w:szCs w:val="28"/>
        </w:rPr>
        <w:t>в соответствии с данными Росстата в отношении этих субъектов Российской Федерации), руб.;</w:t>
      </w:r>
    </w:p>
    <w:p>
      <w:pPr>
        <w:pStyle w:val="ConsPlusNormal"/>
        <w:spacing w:before="0" w:after="0"/>
        <w:ind w:left="0" w:right="0" w:firstLine="709"/>
        <w:jc w:val="both"/>
        <w:rPr/>
      </w:pPr>
      <w:r>
        <w:rPr/>
        <w:drawing>
          <wp:inline distT="0" distB="0" distL="0" distR="0">
            <wp:extent cx="365760" cy="278130"/>
            <wp:effectExtent l="0" t="0" r="0" b="0"/>
            <wp:docPr id="142" name="Рисунок 1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Рисунок 155" descr=""/>
                    <pic:cNvPicPr>
                      <a:picLocks noChangeAspect="1" noChangeArrowheads="1"/>
                    </pic:cNvPicPr>
                  </pic:nvPicPr>
                  <pic:blipFill>
                    <a:blip r:embed="rId161"/>
                    <a:stretch>
                      <a:fillRect/>
                    </a:stretch>
                  </pic:blipFill>
                  <pic:spPr bwMode="auto">
                    <a:xfrm>
                      <a:off x="0" y="0"/>
                      <a:ext cx="36576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коэффициент, учитывающий дифференциацию заработной платы водителей в зависимости от класса транспортного средства и вида маршрутов (принимается в соответствии с </w:t>
      </w:r>
      <w:hyperlink w:anchor="Par549" w:tgtFrame="Коэффициенты, учитывающие дифференциацию заработных плат">
        <w:r>
          <w:rPr>
            <w:sz w:val="28"/>
            <w:szCs w:val="28"/>
          </w:rPr>
          <w:t>таблицей 1</w:t>
        </w:r>
      </w:hyperlink>
      <w:r>
        <w:rPr>
          <w:sz w:val="28"/>
          <w:szCs w:val="28"/>
        </w:rPr>
        <w:t>);</w:t>
      </w:r>
    </w:p>
    <w:p>
      <w:pPr>
        <w:pStyle w:val="ConsPlusNormal"/>
        <w:spacing w:before="0" w:after="0"/>
        <w:ind w:left="0" w:right="0" w:firstLine="709"/>
        <w:jc w:val="both"/>
        <w:rPr/>
      </w:pPr>
      <w:r>
        <w:rPr/>
        <w:drawing>
          <wp:inline distT="0" distB="0" distL="0" distR="0">
            <wp:extent cx="314325" cy="278130"/>
            <wp:effectExtent l="0" t="0" r="0" b="0"/>
            <wp:docPr id="143" name="Рисунок 1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Рисунок 156" descr=""/>
                    <pic:cNvPicPr>
                      <a:picLocks noChangeAspect="1" noChangeArrowheads="1"/>
                    </pic:cNvPicPr>
                  </pic:nvPicPr>
                  <pic:blipFill>
                    <a:blip r:embed="rId162"/>
                    <a:stretch>
                      <a:fillRect/>
                    </a:stretch>
                  </pic:blipFill>
                  <pic:spPr bwMode="auto">
                    <a:xfrm>
                      <a:off x="0" y="0"/>
                      <a:ext cx="31432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коэффициент, учитывающий особенности рынка труда в городах с численностью населения свыше миллиона человек (для г. Москвы принимается равным не менее 0,45, для г. Санкт-Петербурга </w:t>
      </w:r>
      <w:r>
        <w:rPr>
          <w:rFonts w:eastAsia="" w:cs="Times New Roman" w:eastAsiaTheme="minorEastAsia"/>
          <w:color w:val="auto"/>
          <w:kern w:val="0"/>
          <w:sz w:val="28"/>
          <w:szCs w:val="28"/>
          <w:lang w:val="ru-RU" w:eastAsia="ru-RU" w:bidi="ar-SA"/>
        </w:rPr>
        <w:t>−</w:t>
      </w:r>
      <w:r>
        <w:rPr>
          <w:sz w:val="28"/>
          <w:szCs w:val="28"/>
        </w:rPr>
        <w:t xml:space="preserve"> не менее 0,7, для других городов с численностью населения свыше миллиона человек </w:t>
      </w:r>
      <w:r>
        <w:rPr>
          <w:rFonts w:eastAsia="" w:cs="Times New Roman" w:eastAsiaTheme="minorEastAsia"/>
          <w:color w:val="auto"/>
          <w:kern w:val="0"/>
          <w:sz w:val="28"/>
          <w:szCs w:val="28"/>
          <w:lang w:val="ru-RU" w:eastAsia="ru-RU" w:bidi="ar-SA"/>
        </w:rPr>
        <w:t>−</w:t>
      </w:r>
      <w:r>
        <w:rPr>
          <w:sz w:val="28"/>
          <w:szCs w:val="28"/>
        </w:rPr>
        <w:t xml:space="preserve"> не менее 0,8, для прочих муниципальных образований </w:t>
      </w:r>
      <w:r>
        <w:rPr>
          <w:rFonts w:eastAsia="" w:cs="Times New Roman" w:eastAsiaTheme="minorEastAsia"/>
          <w:color w:val="auto"/>
          <w:kern w:val="0"/>
          <w:sz w:val="28"/>
          <w:szCs w:val="28"/>
          <w:lang w:val="ru-RU" w:eastAsia="ru-RU" w:bidi="ar-SA"/>
        </w:rPr>
        <w:t>−</w:t>
      </w:r>
      <w:r>
        <w:rPr>
          <w:sz w:val="28"/>
          <w:szCs w:val="28"/>
        </w:rPr>
        <w:t xml:space="preserve"> 1,0).</w:t>
      </w:r>
    </w:p>
    <w:p>
      <w:pPr>
        <w:pStyle w:val="ConsPlusNormal"/>
        <w:spacing w:before="0" w:after="0"/>
        <w:ind w:left="0" w:right="0" w:firstLine="709"/>
        <w:jc w:val="both"/>
        <w:rPr>
          <w:sz w:val="28"/>
          <w:szCs w:val="28"/>
        </w:rPr>
      </w:pPr>
      <w:r>
        <w:rPr>
          <w:sz w:val="28"/>
          <w:szCs w:val="28"/>
        </w:rPr>
      </w:r>
    </w:p>
    <w:p>
      <w:pPr>
        <w:pStyle w:val="ConsPlusNormal"/>
        <w:numPr>
          <w:ilvl w:val="0"/>
          <w:numId w:val="0"/>
        </w:numPr>
        <w:spacing w:before="0" w:after="0"/>
        <w:ind w:left="0" w:right="0" w:firstLine="709"/>
        <w:jc w:val="right"/>
        <w:outlineLvl w:val="2"/>
        <w:rPr/>
      </w:pPr>
      <w:r>
        <w:rPr/>
      </w:r>
    </w:p>
    <w:p>
      <w:pPr>
        <w:pStyle w:val="ConsPlusNormal"/>
        <w:numPr>
          <w:ilvl w:val="0"/>
          <w:numId w:val="0"/>
        </w:numPr>
        <w:spacing w:before="0" w:after="0"/>
        <w:ind w:left="0" w:right="0" w:firstLine="709"/>
        <w:jc w:val="right"/>
        <w:outlineLvl w:val="2"/>
        <w:rPr/>
      </w:pPr>
      <w:r>
        <w:rPr>
          <w:sz w:val="28"/>
          <w:szCs w:val="28"/>
        </w:rPr>
        <w:t>Таблица 1</w:t>
      </w:r>
    </w:p>
    <w:p>
      <w:pPr>
        <w:pStyle w:val="ConsPlusNormal"/>
        <w:spacing w:before="0" w:after="0"/>
        <w:ind w:left="0" w:right="0" w:firstLine="709"/>
        <w:jc w:val="both"/>
        <w:rPr>
          <w:sz w:val="28"/>
          <w:szCs w:val="28"/>
        </w:rPr>
      </w:pPr>
      <w:r>
        <w:rPr>
          <w:sz w:val="28"/>
          <w:szCs w:val="28"/>
        </w:rPr>
      </w:r>
    </w:p>
    <w:p>
      <w:pPr>
        <w:pStyle w:val="ConsPlusTitle"/>
        <w:widowControl w:val="false"/>
        <w:suppressAutoHyphens w:val="true"/>
        <w:bidi w:val="0"/>
        <w:spacing w:before="0" w:after="0"/>
        <w:ind w:left="0" w:right="0" w:hanging="0"/>
        <w:jc w:val="center"/>
        <w:rPr/>
      </w:pPr>
      <w:bookmarkStart w:id="26" w:name="Par549"/>
      <w:bookmarkEnd w:id="26"/>
      <w:r>
        <w:rPr>
          <w:rFonts w:cs="Times New Roman" w:ascii="Times New Roman" w:hAnsi="Times New Roman"/>
          <w:sz w:val="28"/>
          <w:szCs w:val="28"/>
        </w:rPr>
        <w:t>Коэффициенты, учитывающие дифференциацию заработных плат</w:t>
      </w:r>
    </w:p>
    <w:p>
      <w:pPr>
        <w:pStyle w:val="ConsPlusTitle"/>
        <w:widowControl w:val="false"/>
        <w:suppressAutoHyphens w:val="true"/>
        <w:bidi w:val="0"/>
        <w:spacing w:before="0" w:after="0"/>
        <w:ind w:left="0" w:right="0" w:hanging="0"/>
        <w:jc w:val="center"/>
        <w:rPr/>
      </w:pPr>
      <w:r>
        <w:rPr>
          <w:rFonts w:cs="Times New Roman" w:ascii="Times New Roman" w:hAnsi="Times New Roman"/>
          <w:sz w:val="28"/>
          <w:szCs w:val="28"/>
        </w:rPr>
        <w:t>работников в зависимости от класса транспортного средства</w:t>
      </w:r>
    </w:p>
    <w:p>
      <w:pPr>
        <w:pStyle w:val="ConsPlusTitle"/>
        <w:widowControl w:val="false"/>
        <w:suppressAutoHyphens w:val="true"/>
        <w:bidi w:val="0"/>
        <w:spacing w:before="0" w:after="0"/>
        <w:ind w:left="0" w:right="0" w:hanging="0"/>
        <w:jc w:val="center"/>
        <w:rPr/>
      </w:pPr>
      <w:r>
        <w:rPr>
          <w:rFonts w:cs="Times New Roman" w:ascii="Times New Roman" w:hAnsi="Times New Roman"/>
          <w:sz w:val="28"/>
          <w:szCs w:val="28"/>
        </w:rPr>
        <w:t>и вида маршрутов (</w:t>
      </w:r>
      <w:r>
        <w:rPr/>
        <w:drawing>
          <wp:inline distT="0" distB="0" distL="0" distR="0">
            <wp:extent cx="365760" cy="278130"/>
            <wp:effectExtent l="0" t="0" r="0" b="0"/>
            <wp:docPr id="144" name="Рисунок 1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Рисунок 157" descr=""/>
                    <pic:cNvPicPr>
                      <a:picLocks noChangeAspect="1" noChangeArrowheads="1"/>
                    </pic:cNvPicPr>
                  </pic:nvPicPr>
                  <pic:blipFill>
                    <a:blip r:embed="rId161"/>
                    <a:stretch>
                      <a:fillRect/>
                    </a:stretch>
                  </pic:blipFill>
                  <pic:spPr bwMode="auto">
                    <a:xfrm>
                      <a:off x="0" y="0"/>
                      <a:ext cx="365760" cy="278130"/>
                    </a:xfrm>
                    <a:prstGeom prst="rect">
                      <a:avLst/>
                    </a:prstGeom>
                  </pic:spPr>
                </pic:pic>
              </a:graphicData>
            </a:graphic>
          </wp:inline>
        </w:drawing>
      </w:r>
      <w:r>
        <w:rPr>
          <w:rFonts w:cs="Times New Roman" w:ascii="Times New Roman" w:hAnsi="Times New Roman"/>
          <w:sz w:val="28"/>
          <w:szCs w:val="28"/>
        </w:rPr>
        <w:t xml:space="preserve">, </w:t>
      </w:r>
      <w:r>
        <w:rPr/>
        <w:drawing>
          <wp:inline distT="0" distB="0" distL="0" distR="0">
            <wp:extent cx="336550" cy="278130"/>
            <wp:effectExtent l="0" t="0" r="0" b="0"/>
            <wp:docPr id="145" name="Рисунок 1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Рисунок 158" descr=""/>
                    <pic:cNvPicPr>
                      <a:picLocks noChangeAspect="1" noChangeArrowheads="1"/>
                    </pic:cNvPicPr>
                  </pic:nvPicPr>
                  <pic:blipFill>
                    <a:blip r:embed="rId163"/>
                    <a:stretch>
                      <a:fillRect/>
                    </a:stretch>
                  </pic:blipFill>
                  <pic:spPr bwMode="auto">
                    <a:xfrm>
                      <a:off x="0" y="0"/>
                      <a:ext cx="336550" cy="278130"/>
                    </a:xfrm>
                    <a:prstGeom prst="rect">
                      <a:avLst/>
                    </a:prstGeom>
                  </pic:spPr>
                </pic:pic>
              </a:graphicData>
            </a:graphic>
          </wp:inline>
        </w:drawing>
      </w:r>
      <w:r>
        <w:rPr>
          <w:rFonts w:cs="Times New Roman" w:ascii="Times New Roman" w:hAnsi="Times New Roman"/>
          <w:sz w:val="28"/>
          <w:szCs w:val="28"/>
        </w:rPr>
        <w:t>)</w:t>
      </w:r>
    </w:p>
    <w:p>
      <w:pPr>
        <w:pStyle w:val="ConsPlusNormal"/>
        <w:spacing w:before="0" w:after="0"/>
        <w:ind w:left="0" w:right="0" w:firstLine="709"/>
        <w:jc w:val="both"/>
        <w:rPr>
          <w:sz w:val="28"/>
          <w:szCs w:val="28"/>
        </w:rPr>
      </w:pPr>
      <w:r>
        <w:rPr>
          <w:sz w:val="28"/>
          <w:szCs w:val="28"/>
        </w:rPr>
      </w:r>
    </w:p>
    <w:tbl>
      <w:tblPr>
        <w:tblW w:w="9353" w:type="dxa"/>
        <w:jc w:val="center"/>
        <w:tblInd w:w="0" w:type="dxa"/>
        <w:tblLayout w:type="fixed"/>
        <w:tblCellMar>
          <w:top w:w="102" w:type="dxa"/>
          <w:left w:w="62" w:type="dxa"/>
          <w:bottom w:w="102" w:type="dxa"/>
          <w:right w:w="62" w:type="dxa"/>
        </w:tblCellMar>
        <w:tblLook w:val="0000" w:noVBand="0" w:noHBand="0" w:lastColumn="0" w:firstColumn="0" w:lastRow="0" w:firstRow="0"/>
      </w:tblPr>
      <w:tblGrid>
        <w:gridCol w:w="508"/>
        <w:gridCol w:w="2268"/>
        <w:gridCol w:w="4384"/>
        <w:gridCol w:w="2192"/>
      </w:tblGrid>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 xml:space="preserve">№ </w:t>
            </w:r>
            <w:r>
              <w:rPr>
                <w:sz w:val="28"/>
                <w:szCs w:val="28"/>
              </w:rPr>
              <w:t>п/п</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Категория работника</w:t>
            </w:r>
          </w:p>
        </w:tc>
        <w:tc>
          <w:tcPr>
            <w:tcW w:w="4384"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Муниципальные маршруты в границах городских округов, а также маршруты в границах городов федерального значения Москвы, Санкт-Петербурга, Севастополя</w:t>
            </w:r>
          </w:p>
        </w:tc>
        <w:tc>
          <w:tcPr>
            <w:tcW w:w="2192"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Прочие маршруты (следующие за пределы городских округов)</w:t>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rPr>
                <w:sz w:val="28"/>
                <w:szCs w:val="28"/>
              </w:rPr>
            </w:pPr>
            <w:r>
              <w:rPr>
                <w:sz w:val="28"/>
                <w:szCs w:val="28"/>
              </w:rPr>
              <w:t>Водитель трамвая большого класса</w:t>
            </w:r>
          </w:p>
        </w:tc>
        <w:tc>
          <w:tcPr>
            <w:tcW w:w="438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uppressAutoHyphens w:val="true"/>
              <w:bidi w:val="0"/>
              <w:spacing w:before="0" w:after="0"/>
              <w:ind w:left="0" w:right="0" w:hanging="0"/>
              <w:jc w:val="center"/>
              <w:rPr>
                <w:sz w:val="28"/>
                <w:szCs w:val="28"/>
              </w:rPr>
            </w:pPr>
            <w:r>
              <w:rPr>
                <w:sz w:val="28"/>
                <w:szCs w:val="28"/>
              </w:rPr>
              <w:t>0,9</w:t>
            </w:r>
          </w:p>
        </w:tc>
        <w:tc>
          <w:tcPr>
            <w:tcW w:w="219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uppressAutoHyphens w:val="true"/>
              <w:bidi w:val="0"/>
              <w:spacing w:before="0" w:after="0"/>
              <w:ind w:left="0" w:right="0" w:hanging="0"/>
              <w:jc w:val="center"/>
              <w:rPr>
                <w:sz w:val="28"/>
                <w:szCs w:val="28"/>
              </w:rPr>
            </w:pPr>
            <w:r>
              <w:rPr>
                <w:sz w:val="28"/>
                <w:szCs w:val="28"/>
              </w:rPr>
              <w:t>0,95</w:t>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2</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rPr>
                <w:sz w:val="28"/>
                <w:szCs w:val="28"/>
              </w:rPr>
            </w:pPr>
            <w:r>
              <w:rPr>
                <w:sz w:val="28"/>
                <w:szCs w:val="28"/>
              </w:rPr>
              <w:t>Водитель трамвая особо большого класса</w:t>
            </w:r>
          </w:p>
        </w:tc>
        <w:tc>
          <w:tcPr>
            <w:tcW w:w="438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uppressAutoHyphens w:val="true"/>
              <w:bidi w:val="0"/>
              <w:spacing w:before="0" w:after="0"/>
              <w:ind w:left="0" w:right="0" w:hanging="0"/>
              <w:jc w:val="center"/>
              <w:rPr>
                <w:sz w:val="28"/>
                <w:szCs w:val="28"/>
              </w:rPr>
            </w:pPr>
            <w:r>
              <w:rPr>
                <w:sz w:val="28"/>
                <w:szCs w:val="28"/>
              </w:rPr>
              <w:t>1,0</w:t>
            </w:r>
          </w:p>
        </w:tc>
        <w:tc>
          <w:tcPr>
            <w:tcW w:w="219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uppressAutoHyphens w:val="true"/>
              <w:bidi w:val="0"/>
              <w:spacing w:before="0" w:after="0"/>
              <w:ind w:left="0" w:right="0" w:hanging="0"/>
              <w:jc w:val="center"/>
              <w:rPr>
                <w:sz w:val="28"/>
                <w:szCs w:val="28"/>
              </w:rPr>
            </w:pPr>
            <w:r>
              <w:rPr>
                <w:sz w:val="28"/>
                <w:szCs w:val="28"/>
              </w:rPr>
              <w:t>1,05</w:t>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3</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both"/>
              <w:rPr>
                <w:sz w:val="28"/>
                <w:szCs w:val="28"/>
              </w:rPr>
            </w:pPr>
            <w:r>
              <w:rPr>
                <w:sz w:val="28"/>
                <w:szCs w:val="28"/>
              </w:rPr>
              <w:t>Кондуктор</w:t>
            </w:r>
          </w:p>
        </w:tc>
        <w:tc>
          <w:tcPr>
            <w:tcW w:w="438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uppressAutoHyphens w:val="true"/>
              <w:bidi w:val="0"/>
              <w:spacing w:before="0" w:after="0"/>
              <w:ind w:left="0" w:right="0" w:hanging="0"/>
              <w:jc w:val="center"/>
              <w:rPr>
                <w:sz w:val="28"/>
                <w:szCs w:val="28"/>
              </w:rPr>
            </w:pPr>
            <w:r>
              <w:rPr>
                <w:sz w:val="28"/>
                <w:szCs w:val="28"/>
              </w:rPr>
              <w:t>0,8</w:t>
            </w:r>
          </w:p>
        </w:tc>
        <w:tc>
          <w:tcPr>
            <w:tcW w:w="219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uppressAutoHyphens w:val="true"/>
              <w:bidi w:val="0"/>
              <w:spacing w:before="0" w:after="0"/>
              <w:ind w:left="0" w:right="0" w:hanging="0"/>
              <w:jc w:val="center"/>
              <w:rPr>
                <w:sz w:val="28"/>
                <w:szCs w:val="28"/>
              </w:rPr>
            </w:pPr>
            <w:r>
              <w:rPr>
                <w:sz w:val="28"/>
                <w:szCs w:val="28"/>
              </w:rPr>
              <w:t>0,85</w:t>
            </w:r>
          </w:p>
        </w:tc>
      </w:tr>
      <w:tr>
        <w:trPr/>
        <w:tc>
          <w:tcPr>
            <w:tcW w:w="50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4</w:t>
            </w:r>
          </w:p>
        </w:tc>
        <w:tc>
          <w:tcPr>
            <w:tcW w:w="226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both"/>
              <w:rPr>
                <w:sz w:val="28"/>
                <w:szCs w:val="28"/>
              </w:rPr>
            </w:pPr>
            <w:r>
              <w:rPr>
                <w:sz w:val="28"/>
                <w:szCs w:val="28"/>
              </w:rPr>
              <w:t>Ремонтный рабочий</w:t>
            </w:r>
          </w:p>
        </w:tc>
        <w:tc>
          <w:tcPr>
            <w:tcW w:w="438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uppressAutoHyphens w:val="true"/>
              <w:bidi w:val="0"/>
              <w:spacing w:before="0" w:after="0"/>
              <w:ind w:left="0" w:right="0" w:hanging="0"/>
              <w:jc w:val="center"/>
              <w:rPr>
                <w:sz w:val="28"/>
                <w:szCs w:val="28"/>
              </w:rPr>
            </w:pPr>
            <w:r>
              <w:rPr>
                <w:sz w:val="28"/>
                <w:szCs w:val="28"/>
              </w:rPr>
              <w:t>0,9</w:t>
            </w:r>
          </w:p>
        </w:tc>
        <w:tc>
          <w:tcPr>
            <w:tcW w:w="2192"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uppressAutoHyphens w:val="true"/>
              <w:bidi w:val="0"/>
              <w:spacing w:before="0" w:after="0"/>
              <w:ind w:left="0" w:right="0" w:hanging="0"/>
              <w:jc w:val="center"/>
              <w:rPr>
                <w:sz w:val="28"/>
                <w:szCs w:val="28"/>
              </w:rPr>
            </w:pPr>
            <w:r>
              <w:rPr>
                <w:sz w:val="28"/>
                <w:szCs w:val="28"/>
              </w:rPr>
              <w:t>0,9</w:t>
            </w:r>
          </w:p>
        </w:tc>
      </w:tr>
    </w:tbl>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bookmarkStart w:id="27" w:name="Par586"/>
      <w:bookmarkEnd w:id="27"/>
      <w:r>
        <w:rPr>
          <w:sz w:val="28"/>
          <w:szCs w:val="28"/>
        </w:rPr>
        <w:t>4. Расходы на оплату труда кондукторов транспортных средств в t-ый год срока действия контракта в расчете на 1 км пробега определяются по формуле (4).</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r>
      <m:oMath xmlns:m="http://schemas.openxmlformats.org/officeDocument/2006/math">
        <m:sSub>
          <m:e>
            <m:r>
              <w:rPr>
                <w:rFonts w:ascii="Cambria Math" w:hAnsi="Cambria Math"/>
              </w:rPr>
              <m:t xml:space="preserve">P</m:t>
            </m:r>
          </m:e>
          <m:sub>
            <m:r>
              <w:rPr>
                <w:rFonts w:ascii="Cambria Math" w:hAnsi="Cambria Math"/>
              </w:rPr>
              <m:t xml:space="preserve">ОТК</m:t>
            </m:r>
            <m:r>
              <w:rPr>
                <w:rFonts w:ascii="Cambria Math" w:hAnsi="Cambria Math"/>
              </w:rPr>
              <m:t xml:space="preserve">ti</m:t>
            </m:r>
          </m:sub>
        </m:sSub>
        <m:r>
          <w:rPr>
            <w:rFonts w:ascii="Cambria Math" w:hAnsi="Cambria Math"/>
          </w:rPr>
          <m:t xml:space="preserve">=</m:t>
        </m:r>
        <m:f>
          <m:num>
            <m:r>
              <w:rPr>
                <w:rFonts w:ascii="Cambria Math" w:hAnsi="Cambria Math"/>
              </w:rPr>
              <m:t xml:space="preserve">12</m:t>
            </m:r>
            <m:r>
              <w:rPr>
                <w:rFonts w:ascii="Cambria Math" w:hAnsi="Cambria Math"/>
              </w:rPr>
              <m:t xml:space="preserve">×</m:t>
            </m:r>
            <m:sSub>
              <m:e>
                <m:r>
                  <w:rPr>
                    <w:rFonts w:ascii="Cambria Math" w:hAnsi="Cambria Math"/>
                  </w:rPr>
                  <m:t xml:space="preserve">ЗПК</m:t>
                </m:r>
              </m:e>
              <m:sub/>
            </m:sSub>
          </m:num>
          <m:den>
            <m:sSub>
              <m:e>
                <m:r>
                  <w:rPr>
                    <w:rFonts w:ascii="Cambria Math" w:hAnsi="Cambria Math"/>
                  </w:rPr>
                  <m:t xml:space="preserve">ФРВ</m:t>
                </m:r>
              </m:e>
              <m:sub>
                <m:r>
                  <w:rPr>
                    <w:rFonts w:ascii="Cambria Math" w:hAnsi="Cambria Math"/>
                  </w:rPr>
                  <m:t xml:space="preserve">к</m:t>
                </m:r>
              </m:sub>
            </m:sSub>
          </m:den>
        </m:f>
        <m:r>
          <w:rPr>
            <w:rFonts w:ascii="Cambria Math" w:hAnsi="Cambria Math"/>
          </w:rPr>
          <m:t xml:space="preserve">×</m:t>
        </m:r>
        <m:sSub>
          <m:e>
            <m:r>
              <w:rPr>
                <w:rFonts w:ascii="Cambria Math" w:hAnsi="Cambria Math"/>
              </w:rPr>
              <m:t xml:space="preserve">АЧК</m:t>
            </m:r>
          </m:e>
          <m:sub>
            <m:r>
              <w:rPr>
                <w:rFonts w:ascii="Cambria Math" w:hAnsi="Cambria Math"/>
              </w:rPr>
              <m:t xml:space="preserve">ti</m:t>
            </m:r>
          </m:sub>
        </m:sSub>
        <m:r>
          <w:rPr>
            <w:rFonts w:ascii="Cambria Math" w:hAnsi="Cambria Math"/>
          </w:rPr>
          <m:t xml:space="preserve">×</m:t>
        </m:r>
        <m:r>
          <w:rPr>
            <w:rFonts w:ascii="Cambria Math" w:hAnsi="Cambria Math"/>
          </w:rPr>
          <m:t xml:space="preserve">1,06</m:t>
        </m:r>
        <m:r>
          <w:rPr>
            <w:rFonts w:ascii="Cambria Math" w:hAnsi="Cambria Math"/>
          </w:rPr>
          <m:t xml:space="preserve">×</m:t>
        </m:r>
        <m:f>
          <m:fPr>
            <m:type m:val="lin"/>
          </m:fPr>
          <m:num>
            <m:sSub>
              <m:e>
                <m:r>
                  <w:rPr>
                    <w:rFonts w:ascii="Cambria Math" w:hAnsi="Cambria Math"/>
                  </w:rPr>
                  <m:t xml:space="preserve">I</m:t>
                </m:r>
              </m:e>
              <m:sub>
                <m:r>
                  <w:rPr>
                    <w:rFonts w:ascii="Cambria Math" w:hAnsi="Cambria Math"/>
                  </w:rPr>
                  <m:t xml:space="preserve">пц</m:t>
                </m:r>
                <m:r>
                  <w:rPr>
                    <w:rFonts w:ascii="Cambria Math" w:hAnsi="Cambria Math"/>
                  </w:rPr>
                  <m:t xml:space="preserve">t</m:t>
                </m:r>
              </m:sub>
            </m:sSub>
          </m:num>
          <m:den>
            <m:sSub>
              <m:e>
                <m:r>
                  <w:rPr>
                    <w:rFonts w:ascii="Cambria Math" w:hAnsi="Cambria Math"/>
                  </w:rPr>
                  <m:t xml:space="preserve">L</m:t>
                </m:r>
              </m:e>
              <m:sub>
                <m:r>
                  <w:rPr>
                    <w:rFonts w:ascii="Cambria Math" w:hAnsi="Cambria Math"/>
                  </w:rPr>
                  <m:t xml:space="preserve">ti</m:t>
                </m:r>
              </m:sub>
            </m:sSub>
          </m:den>
        </m:f>
      </m:oMath>
      <w:r>
        <w:rPr>
          <w:sz w:val="28"/>
          <w:szCs w:val="28"/>
        </w:rPr>
        <w:t>, руб./км (4)</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sz w:val="28"/>
          <w:szCs w:val="28"/>
        </w:rPr>
        <w:t xml:space="preserve">12 </w:t>
      </w:r>
      <w:r>
        <w:rPr>
          <w:rFonts w:eastAsia="" w:cs="Times New Roman" w:eastAsiaTheme="minorEastAsia"/>
          <w:color w:val="auto"/>
          <w:kern w:val="0"/>
          <w:sz w:val="28"/>
          <w:szCs w:val="28"/>
          <w:lang w:val="ru-RU" w:eastAsia="ru-RU" w:bidi="ar-SA"/>
        </w:rPr>
        <w:t>−</w:t>
      </w:r>
      <w:r>
        <w:rPr>
          <w:sz w:val="28"/>
          <w:szCs w:val="28"/>
        </w:rPr>
        <w:t xml:space="preserve"> количество месяцев в году;</w:t>
      </w:r>
    </w:p>
    <w:p>
      <w:pPr>
        <w:pStyle w:val="ConsPlusNormal"/>
        <w:spacing w:before="0" w:after="0"/>
        <w:ind w:left="0" w:right="0" w:firstLine="709"/>
        <w:jc w:val="both"/>
        <w:rPr/>
      </w:pPr>
      <w:r>
        <w:rPr/>
        <w:drawing>
          <wp:inline distT="0" distB="0" distL="0" distR="0">
            <wp:extent cx="424180" cy="219710"/>
            <wp:effectExtent l="0" t="0" r="0" b="0"/>
            <wp:docPr id="146" name="Рисунок 3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Рисунок 345" descr=""/>
                    <pic:cNvPicPr>
                      <a:picLocks noChangeAspect="1" noChangeArrowheads="1"/>
                    </pic:cNvPicPr>
                  </pic:nvPicPr>
                  <pic:blipFill>
                    <a:blip r:embed="rId74"/>
                    <a:stretch>
                      <a:fillRect/>
                    </a:stretch>
                  </pic:blipFill>
                  <pic:spPr bwMode="auto">
                    <a:xfrm>
                      <a:off x="0" y="0"/>
                      <a:ext cx="424180" cy="21971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средняя месячная оплата труда кондуктора (с учетом всех видов премий, надбавок и компенсаций), устанавливаемая на уровне не менее чем определенном в соответствии с заключенным на территории соответствующего субъекта Российской Федерации либо муниципального образования региональным либо территориальным отраслевым соглашением в рамках реализации </w:t>
      </w:r>
      <w:hyperlink r:id="rId164">
        <w:r>
          <w:rPr>
            <w:sz w:val="28"/>
            <w:szCs w:val="28"/>
          </w:rPr>
          <w:t>статей 45</w:t>
        </w:r>
      </w:hyperlink>
      <w:r>
        <w:rPr>
          <w:sz w:val="28"/>
          <w:szCs w:val="28"/>
        </w:rPr>
        <w:t xml:space="preserve"> и </w:t>
      </w:r>
      <w:hyperlink r:id="rId165">
        <w:r>
          <w:rPr>
            <w:sz w:val="28"/>
            <w:szCs w:val="28"/>
          </w:rPr>
          <w:t>48</w:t>
        </w:r>
      </w:hyperlink>
      <w:r>
        <w:rPr>
          <w:sz w:val="28"/>
          <w:szCs w:val="28"/>
        </w:rPr>
        <w:t xml:space="preserve"> Трудового кодекса Российской Федерации, при отсутствии таких соглашений – на уровне не менее, чем определенном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 либо, при отсутствии такого заключенного соглашения </w:t>
      </w:r>
      <w:r>
        <w:rPr>
          <w:rFonts w:eastAsia="" w:cs="Times New Roman" w:eastAsiaTheme="minorEastAsia"/>
          <w:color w:val="auto"/>
          <w:kern w:val="0"/>
          <w:sz w:val="28"/>
          <w:szCs w:val="28"/>
          <w:lang w:val="ru-RU" w:eastAsia="ru-RU" w:bidi="ar-SA"/>
        </w:rPr>
        <w:t>−</w:t>
      </w:r>
      <w:r>
        <w:rPr>
          <w:sz w:val="28"/>
          <w:szCs w:val="28"/>
        </w:rPr>
        <w:t xml:space="preserve"> определенном в соответствии с пунктом 5 настоящего приложения, руб.;</w:t>
      </w:r>
    </w:p>
    <w:p>
      <w:pPr>
        <w:pStyle w:val="ConsPlusNormal"/>
        <w:spacing w:before="0" w:after="0"/>
        <w:ind w:left="0" w:right="0" w:firstLine="709"/>
        <w:jc w:val="both"/>
        <w:rPr/>
      </w:pPr>
      <w:bookmarkStart w:id="28" w:name="Par599"/>
      <w:bookmarkEnd w:id="28"/>
      <w:r>
        <w:rPr/>
        <w:drawing>
          <wp:inline distT="0" distB="0" distL="0" distR="0">
            <wp:extent cx="504825" cy="278130"/>
            <wp:effectExtent l="0" t="0" r="0" b="0"/>
            <wp:docPr id="147" name="Рисунок 3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Рисунок 366" descr=""/>
                    <pic:cNvPicPr>
                      <a:picLocks noChangeAspect="1" noChangeArrowheads="1"/>
                    </pic:cNvPicPr>
                  </pic:nvPicPr>
                  <pic:blipFill>
                    <a:blip r:embed="rId77"/>
                    <a:stretch>
                      <a:fillRect/>
                    </a:stretch>
                  </pic:blipFill>
                  <pic:spPr bwMode="auto">
                    <a:xfrm>
                      <a:off x="0" y="0"/>
                      <a:ext cx="50482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планируемое количество часов работы трамваев i-го класса с кондукторами в t-ом году срока действия контракта (может определяться в соответствии с временем пробега по маршруту и частотой движения по периодам суток и дням недели, установленными Документом планирования регулярных перевозок для каждого из маршрутов, с учетом изменений планового времени пробега в период действия контракта при вводе выделенных полос транспорта общего пользования, иных мер по созданию приоритетных условий движения транспорта общего пользования), час.;</w:t>
      </w:r>
    </w:p>
    <w:p>
      <w:pPr>
        <w:pStyle w:val="ConsPlusNormal"/>
        <w:spacing w:before="0" w:after="0"/>
        <w:ind w:left="0" w:right="0" w:firstLine="709"/>
        <w:jc w:val="both"/>
        <w:rPr/>
      </w:pPr>
      <w:r>
        <w:rPr>
          <w:sz w:val="28"/>
          <w:szCs w:val="28"/>
        </w:rPr>
        <w:t xml:space="preserve">1,06 </w:t>
      </w:r>
      <w:r>
        <w:rPr>
          <w:rFonts w:eastAsia="" w:cs="Times New Roman" w:eastAsiaTheme="minorEastAsia"/>
          <w:color w:val="auto"/>
          <w:kern w:val="0"/>
          <w:sz w:val="28"/>
          <w:szCs w:val="28"/>
          <w:lang w:val="ru-RU" w:eastAsia="ru-RU" w:bidi="ar-SA"/>
        </w:rPr>
        <w:t>−</w:t>
      </w:r>
      <w:r>
        <w:rPr>
          <w:sz w:val="28"/>
          <w:szCs w:val="28"/>
        </w:rPr>
        <w:t xml:space="preserve"> коэффициент, характеризующий продолжительность подготовительно-заключительного времени;</w:t>
      </w:r>
    </w:p>
    <w:p>
      <w:pPr>
        <w:pStyle w:val="ConsPlusNormal"/>
        <w:spacing w:before="0" w:after="0"/>
        <w:ind w:left="0" w:right="0" w:firstLine="709"/>
        <w:jc w:val="both"/>
        <w:rPr/>
      </w:pPr>
      <w:r>
        <w:rPr/>
        <w:drawing>
          <wp:inline distT="0" distB="0" distL="0" distR="0">
            <wp:extent cx="278130" cy="285115"/>
            <wp:effectExtent l="0" t="0" r="0" b="0"/>
            <wp:docPr id="148" name="Рисунок 3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Рисунок 367" descr=""/>
                    <pic:cNvPicPr>
                      <a:picLocks noChangeAspect="1" noChangeArrowheads="1"/>
                    </pic:cNvPicPr>
                  </pic:nvPicPr>
                  <pic:blipFill>
                    <a:blip r:embed="rId78"/>
                    <a:stretch>
                      <a:fillRect/>
                    </a:stretch>
                  </pic:blipFill>
                  <pic:spPr bwMode="auto">
                    <a:xfrm>
                      <a:off x="0" y="0"/>
                      <a:ext cx="278130"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индекс потребительских цен для t-ого года срока действия контракта, принимаемый в соответствии с публикуемыми Минэкономразвития России прогнозами социально-экономического развития Российской Федерации (если срок действия контракта превышает срок прогноза, индекс потребительских цен для каждого года срока действия контракта, не указанного в прогнозе, принимается равным индексу потребительских цен, указанному для последнего года прогноза);</w:t>
      </w:r>
    </w:p>
    <w:p>
      <w:pPr>
        <w:pStyle w:val="ConsPlusNormal"/>
        <w:spacing w:before="0" w:after="0"/>
        <w:ind w:left="0" w:right="0" w:firstLine="709"/>
        <w:jc w:val="both"/>
        <w:rPr/>
      </w:pPr>
      <w:r>
        <w:rPr/>
        <w:drawing>
          <wp:inline distT="0" distB="0" distL="0" distR="0">
            <wp:extent cx="219710" cy="278130"/>
            <wp:effectExtent l="0" t="0" r="0" b="0"/>
            <wp:docPr id="149" name="Рисунок 3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Рисунок 369" descr=""/>
                    <pic:cNvPicPr>
                      <a:picLocks noChangeAspect="1" noChangeArrowheads="1"/>
                    </pic:cNvPicPr>
                  </pic:nvPicPr>
                  <pic:blipFill>
                    <a:blip r:embed="rId79"/>
                    <a:stretch>
                      <a:fillRect/>
                    </a:stretch>
                  </pic:blipFill>
                  <pic:spPr bwMode="auto">
                    <a:xfrm>
                      <a:off x="0" y="0"/>
                      <a:ext cx="21971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предусмотренный контрактом планируемый пробег транспортных средств i-го класса в t-ом году срока действия контракта (может определяться в соответствии с длиной рейсов и частотой движения по периодам суток и дням недели, установленными Документом планирования регулярных перевозок для каждого из маршрутов, с учетом планируемых изменений трасс и параметров движения в период исполнения контракта), км;</w:t>
      </w:r>
    </w:p>
    <w:p>
      <w:pPr>
        <w:pStyle w:val="ConsPlusNormal"/>
        <w:spacing w:before="0" w:after="0"/>
        <w:ind w:left="0" w:right="0" w:firstLine="709"/>
        <w:jc w:val="both"/>
        <w:rPr/>
      </w:pPr>
      <w:r>
        <w:rPr/>
        <w:drawing>
          <wp:inline distT="0" distB="0" distL="0" distR="0">
            <wp:extent cx="475615" cy="278130"/>
            <wp:effectExtent l="0" t="0" r="0" b="0"/>
            <wp:docPr id="150" name="Рисунок 3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Рисунок 370" descr=""/>
                    <pic:cNvPicPr>
                      <a:picLocks noChangeAspect="1" noChangeArrowheads="1"/>
                    </pic:cNvPicPr>
                  </pic:nvPicPr>
                  <pic:blipFill>
                    <a:blip r:embed="rId80"/>
                    <a:stretch>
                      <a:fillRect/>
                    </a:stretch>
                  </pic:blipFill>
                  <pic:spPr bwMode="auto">
                    <a:xfrm>
                      <a:off x="0" y="0"/>
                      <a:ext cx="47561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годовой фонд рабочего времени кондуктора при соблюдении нормальной, 40-часовой продолжительности рабочего времени в неделю, с учетом ежегодного отпуска 28 календарных дней и обязательного дополнительно предоставляемого водителям отпуска 7 календарных дней (принимается равным 1772 часа).</w:t>
      </w:r>
    </w:p>
    <w:p>
      <w:pPr>
        <w:pStyle w:val="ConsPlusNormal"/>
        <w:spacing w:before="0" w:after="0"/>
        <w:ind w:left="0" w:right="0" w:firstLine="709"/>
        <w:jc w:val="both"/>
        <w:rPr/>
      </w:pPr>
      <w:bookmarkStart w:id="29" w:name="Par607"/>
      <w:bookmarkEnd w:id="29"/>
      <w:r>
        <w:rPr>
          <w:sz w:val="28"/>
          <w:szCs w:val="28"/>
        </w:rPr>
        <w:t xml:space="preserve">5. При отсутствии на территории соответствующего субъекта Российской Федерации либо муниципального образования регионального либо территориального отраслевого соглашения, заключенного в рамках реализации </w:t>
      </w:r>
      <w:hyperlink r:id="rId166">
        <w:r>
          <w:rPr>
            <w:sz w:val="28"/>
            <w:szCs w:val="28"/>
          </w:rPr>
          <w:t>статей 45</w:t>
        </w:r>
      </w:hyperlink>
      <w:r>
        <w:rPr>
          <w:sz w:val="28"/>
          <w:szCs w:val="28"/>
        </w:rPr>
        <w:t xml:space="preserve"> и </w:t>
      </w:r>
      <w:hyperlink r:id="rId167">
        <w:r>
          <w:rPr>
            <w:sz w:val="28"/>
            <w:szCs w:val="28"/>
          </w:rPr>
          <w:t>48</w:t>
        </w:r>
      </w:hyperlink>
      <w:r>
        <w:rPr>
          <w:sz w:val="28"/>
          <w:szCs w:val="28"/>
        </w:rPr>
        <w:t xml:space="preserve"> Трудового кодекса Российской Федерации и Федерального отраслевого </w:t>
      </w:r>
      <w:hyperlink r:id="rId168">
        <w:r>
          <w:rPr>
            <w:sz w:val="28"/>
            <w:szCs w:val="28"/>
          </w:rPr>
          <w:t>соглашения</w:t>
        </w:r>
      </w:hyperlink>
      <w:r>
        <w:rPr>
          <w:sz w:val="28"/>
          <w:szCs w:val="28"/>
        </w:rPr>
        <w:t xml:space="preserve"> по автомобильному и городскому наземному пассажирскому транспорту или Отраслевого </w:t>
      </w:r>
      <w:hyperlink r:id="rId169">
        <w:r>
          <w:rPr>
            <w:sz w:val="28"/>
            <w:szCs w:val="28"/>
          </w:rPr>
          <w:t>соглашения</w:t>
        </w:r>
      </w:hyperlink>
      <w:r>
        <w:rPr>
          <w:sz w:val="28"/>
          <w:szCs w:val="28"/>
        </w:rPr>
        <w:t xml:space="preserve"> по организациям наземного городского электрического транспорта Российской Федерации, средняя месячная оплата труда кондуктора (с учетом всех видов премий, надбавок</w:t>
        <w:br/>
        <w:t>и компенсаций) выбирается наибольшая из определенной в соответствии</w:t>
        <w:br/>
        <w:t>с Федеральным отраслевым соглашением по автомобильному и городскому наземному пассажирскому транспорту или Отраслевым соглашением</w:t>
        <w:br/>
        <w:t>по организациям наземного городского электрического транспорта Российской Федерации, либо определяется по формуле (5).</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2728595" cy="278130"/>
            <wp:effectExtent l="0" t="0" r="0" b="0"/>
            <wp:docPr id="151" name="Рисунок 3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Рисунок 371" descr=""/>
                    <pic:cNvPicPr>
                      <a:picLocks noChangeAspect="1" noChangeArrowheads="1"/>
                    </pic:cNvPicPr>
                  </pic:nvPicPr>
                  <pic:blipFill>
                    <a:blip r:embed="rId85"/>
                    <a:stretch>
                      <a:fillRect/>
                    </a:stretch>
                  </pic:blipFill>
                  <pic:spPr bwMode="auto">
                    <a:xfrm>
                      <a:off x="0" y="0"/>
                      <a:ext cx="2728595" cy="278130"/>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409575" cy="219710"/>
            <wp:effectExtent l="0" t="0" r="0" b="0"/>
            <wp:docPr id="152" name="Рисунок 3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Рисунок 372" descr=""/>
                    <pic:cNvPicPr>
                      <a:picLocks noChangeAspect="1" noChangeArrowheads="1"/>
                    </pic:cNvPicPr>
                  </pic:nvPicPr>
                  <pic:blipFill>
                    <a:blip r:embed="rId86"/>
                    <a:stretch>
                      <a:fillRect/>
                    </a:stretch>
                  </pic:blipFill>
                  <pic:spPr bwMode="auto">
                    <a:xfrm>
                      <a:off x="0" y="0"/>
                      <a:ext cx="409575" cy="21971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(для муниципальных маршрутов в границах поселения,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административно-территориальных единиц субъекта Российской Федерации, для муниципальных маршрутов в границах субъектов Российской Федерации </w:t>
      </w:r>
      <w:r>
        <w:rPr>
          <w:rFonts w:eastAsia="" w:cs="Times New Roman" w:eastAsiaTheme="minorEastAsia"/>
          <w:color w:val="auto"/>
          <w:kern w:val="0"/>
          <w:sz w:val="28"/>
          <w:szCs w:val="28"/>
          <w:lang w:val="ru-RU" w:eastAsia="ru-RU" w:bidi="ar-SA"/>
        </w:rPr>
        <w:t>−</w:t>
      </w:r>
      <w:r>
        <w:rPr>
          <w:sz w:val="28"/>
          <w:szCs w:val="28"/>
        </w:rPr>
        <w:t xml:space="preserve"> городов федерального значения Москвы,</w:t>
        <w:br/>
        <w:t xml:space="preserve">Санкт-Петербурга или Севастополя в соответствии с данными Росстата в отношении указанных субъектов Российской Федерации, для межмуниципальных маршрутов в границах субъекта Российской Федерации </w:t>
      </w:r>
      <w:r>
        <w:rPr>
          <w:rFonts w:eastAsia="" w:cs="Times New Roman" w:eastAsiaTheme="minorEastAsia"/>
          <w:color w:val="auto"/>
          <w:kern w:val="0"/>
          <w:sz w:val="28"/>
          <w:szCs w:val="28"/>
          <w:lang w:val="ru-RU" w:eastAsia="ru-RU" w:bidi="ar-SA"/>
        </w:rPr>
        <w:t>−</w:t>
      </w:r>
      <w:r>
        <w:rPr>
          <w:sz w:val="28"/>
          <w:szCs w:val="28"/>
        </w:rPr>
        <w:t xml:space="preserve"> в соответствии с данными Росстата в отношении этого субъекта Российской Федерации, для смежных межрегиональных маршрутов в сообщении с субъектами Российской Федерации </w:t>
      </w:r>
      <w:r>
        <w:rPr>
          <w:rFonts w:eastAsia="" w:cs="Times New Roman" w:eastAsiaTheme="minorEastAsia"/>
          <w:color w:val="auto"/>
          <w:kern w:val="0"/>
          <w:sz w:val="28"/>
          <w:szCs w:val="28"/>
          <w:lang w:val="ru-RU" w:eastAsia="ru-RU" w:bidi="ar-SA"/>
        </w:rPr>
        <w:t>−</w:t>
      </w:r>
      <w:r>
        <w:rPr>
          <w:sz w:val="28"/>
          <w:szCs w:val="28"/>
        </w:rPr>
        <w:t xml:space="preserve"> городами федерального значения Москвой, Санкт-Петербургом или Севастополем </w:t>
      </w:r>
      <w:r>
        <w:rPr>
          <w:rFonts w:eastAsia="" w:cs="Times New Roman" w:eastAsiaTheme="minorEastAsia"/>
          <w:color w:val="auto"/>
          <w:kern w:val="0"/>
          <w:sz w:val="28"/>
          <w:szCs w:val="28"/>
          <w:lang w:val="ru-RU" w:eastAsia="ru-RU" w:bidi="ar-SA"/>
        </w:rPr>
        <w:t>−</w:t>
        <w:br/>
      </w:r>
      <w:r>
        <w:rPr>
          <w:sz w:val="28"/>
          <w:szCs w:val="28"/>
        </w:rPr>
        <w:t>в соответствии с данными Росстата в отношении этих субъектов Российской Федерации), руб.;</w:t>
      </w:r>
    </w:p>
    <w:p>
      <w:pPr>
        <w:pStyle w:val="ConsPlusNormal"/>
        <w:spacing w:before="0" w:after="0"/>
        <w:ind w:left="0" w:right="0" w:firstLine="709"/>
        <w:jc w:val="both"/>
        <w:rPr/>
      </w:pPr>
      <w:r>
        <w:rPr/>
        <w:drawing>
          <wp:inline distT="0" distB="0" distL="0" distR="0">
            <wp:extent cx="336550" cy="278130"/>
            <wp:effectExtent l="0" t="0" r="0" b="0"/>
            <wp:docPr id="153" name="Рисунок 3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Рисунок 373" descr=""/>
                    <pic:cNvPicPr>
                      <a:picLocks noChangeAspect="1" noChangeArrowheads="1"/>
                    </pic:cNvPicPr>
                  </pic:nvPicPr>
                  <pic:blipFill>
                    <a:blip r:embed="rId87"/>
                    <a:stretch>
                      <a:fillRect/>
                    </a:stretch>
                  </pic:blipFill>
                  <pic:spPr bwMode="auto">
                    <a:xfrm>
                      <a:off x="0" y="0"/>
                      <a:ext cx="33655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коэффициент, учитывающий дифференциацию в оплате труда кондукторов транспортных средств в зависимости от вида маршрутов (принимается в соответствии с </w:t>
      </w:r>
      <w:hyperlink w:anchor="Par198" w:tgtFrame="Коэффициенты, учитывающие дифференциацию заработных плат">
        <w:r>
          <w:rPr>
            <w:sz w:val="28"/>
            <w:szCs w:val="28"/>
          </w:rPr>
          <w:t>таблицей 1</w:t>
        </w:r>
      </w:hyperlink>
      <w:r>
        <w:rPr>
          <w:sz w:val="28"/>
          <w:szCs w:val="28"/>
        </w:rPr>
        <w:t>);</w:t>
      </w:r>
    </w:p>
    <w:p>
      <w:pPr>
        <w:pStyle w:val="ConsPlusNormal"/>
        <w:spacing w:before="0" w:after="0"/>
        <w:ind w:left="0" w:right="0" w:firstLine="709"/>
        <w:jc w:val="both"/>
        <w:rPr/>
      </w:pPr>
      <w:r>
        <w:rPr/>
        <w:drawing>
          <wp:inline distT="0" distB="0" distL="0" distR="0">
            <wp:extent cx="314325" cy="278130"/>
            <wp:effectExtent l="0" t="0" r="0" b="0"/>
            <wp:docPr id="154" name="Рисунок 3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Рисунок 375" descr=""/>
                    <pic:cNvPicPr>
                      <a:picLocks noChangeAspect="1" noChangeArrowheads="1"/>
                    </pic:cNvPicPr>
                  </pic:nvPicPr>
                  <pic:blipFill>
                    <a:blip r:embed="rId88"/>
                    <a:stretch>
                      <a:fillRect/>
                    </a:stretch>
                  </pic:blipFill>
                  <pic:spPr bwMode="auto">
                    <a:xfrm>
                      <a:off x="0" y="0"/>
                      <a:ext cx="31432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коэффициент, учитывающий особенности рынка труда в городах с численностью населения свыше миллиона человек (для г. Москвы принимается равным не менее 0,45, для г. Санкт-Петербурга </w:t>
      </w:r>
      <w:r>
        <w:rPr>
          <w:rFonts w:eastAsia="" w:cs="Times New Roman" w:eastAsiaTheme="minorEastAsia"/>
          <w:color w:val="auto"/>
          <w:kern w:val="0"/>
          <w:sz w:val="28"/>
          <w:szCs w:val="28"/>
          <w:lang w:val="ru-RU" w:eastAsia="ru-RU" w:bidi="ar-SA"/>
        </w:rPr>
        <w:t>−</w:t>
      </w:r>
      <w:r>
        <w:rPr>
          <w:sz w:val="28"/>
          <w:szCs w:val="28"/>
        </w:rPr>
        <w:t xml:space="preserve"> не менее 0,7, для других городов</w:t>
        <w:br/>
        <w:t xml:space="preserve">с численностью населения свыше миллиона человек </w:t>
      </w:r>
      <w:r>
        <w:rPr>
          <w:rFonts w:eastAsia="" w:cs="Times New Roman" w:eastAsiaTheme="minorEastAsia"/>
          <w:color w:val="auto"/>
          <w:kern w:val="0"/>
          <w:sz w:val="28"/>
          <w:szCs w:val="28"/>
          <w:lang w:val="ru-RU" w:eastAsia="ru-RU" w:bidi="ar-SA"/>
        </w:rPr>
        <w:t>−</w:t>
      </w:r>
      <w:r>
        <w:rPr>
          <w:sz w:val="28"/>
          <w:szCs w:val="28"/>
        </w:rPr>
        <w:t xml:space="preserve"> не менее 0,8, для прочих муниципальных образований </w:t>
      </w:r>
      <w:r>
        <w:rPr>
          <w:rFonts w:eastAsia="" w:cs="Times New Roman" w:eastAsiaTheme="minorEastAsia"/>
          <w:color w:val="auto"/>
          <w:kern w:val="0"/>
          <w:sz w:val="28"/>
          <w:szCs w:val="28"/>
          <w:lang w:val="ru-RU" w:eastAsia="ru-RU" w:bidi="ar-SA"/>
        </w:rPr>
        <w:t>−</w:t>
      </w:r>
      <w:r>
        <w:rPr>
          <w:sz w:val="28"/>
          <w:szCs w:val="28"/>
        </w:rPr>
        <w:t xml:space="preserve"> 1,0).</w:t>
      </w:r>
    </w:p>
    <w:p>
      <w:pPr>
        <w:pStyle w:val="ConsPlusNormal"/>
        <w:spacing w:before="0" w:after="0"/>
        <w:ind w:left="0" w:right="0" w:firstLine="709"/>
        <w:jc w:val="both"/>
        <w:rPr/>
      </w:pPr>
      <w:r>
        <w:rPr>
          <w:sz w:val="28"/>
          <w:szCs w:val="28"/>
        </w:rPr>
        <w:t>6. Отчисления на социальные нужды от оплаты труда водителей</w:t>
        <w:br/>
        <w:t>и кондукторов транспортных средств i-го класса в t-ый год срока действия контракта в расчете на 1 км пробега (</w:t>
      </w:r>
      <w:r>
        <w:rPr>
          <w:i/>
          <w:iCs/>
          <w:sz w:val="28"/>
          <w:szCs w:val="28"/>
        </w:rPr>
        <w:t>СР</w:t>
      </w:r>
      <w:r>
        <w:rPr>
          <w:i/>
          <w:iCs/>
          <w:sz w:val="28"/>
          <w:szCs w:val="28"/>
          <w:vertAlign w:val="subscript"/>
        </w:rPr>
        <w:t>ti</w:t>
      </w:r>
      <w:r>
        <w:rPr>
          <w:sz w:val="28"/>
          <w:szCs w:val="28"/>
        </w:rPr>
        <w:t>) определяются по формуле (6).</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3576955" cy="278130"/>
            <wp:effectExtent l="0" t="0" r="0" b="0"/>
            <wp:docPr id="155" name="Рисунок 1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Рисунок 170" descr=""/>
                    <pic:cNvPicPr>
                      <a:picLocks noChangeAspect="1" noChangeArrowheads="1"/>
                    </pic:cNvPicPr>
                  </pic:nvPicPr>
                  <pic:blipFill>
                    <a:blip r:embed="rId170"/>
                    <a:stretch>
                      <a:fillRect/>
                    </a:stretch>
                  </pic:blipFill>
                  <pic:spPr bwMode="auto">
                    <a:xfrm>
                      <a:off x="0" y="0"/>
                      <a:ext cx="3576955" cy="278130"/>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409575" cy="278130"/>
            <wp:effectExtent l="0" t="0" r="0" b="0"/>
            <wp:docPr id="156" name="Рисунок 1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Рисунок 171" descr=""/>
                    <pic:cNvPicPr>
                      <a:picLocks noChangeAspect="1" noChangeArrowheads="1"/>
                    </pic:cNvPicPr>
                  </pic:nvPicPr>
                  <pic:blipFill>
                    <a:blip r:embed="rId171"/>
                    <a:stretch>
                      <a:fillRect/>
                    </a:stretch>
                  </pic:blipFill>
                  <pic:spPr bwMode="auto">
                    <a:xfrm>
                      <a:off x="0" y="0"/>
                      <a:ext cx="409575" cy="278130"/>
                    </a:xfrm>
                    <a:prstGeom prst="rect">
                      <a:avLst/>
                    </a:prstGeom>
                  </pic:spPr>
                </pic:pic>
              </a:graphicData>
            </a:graphic>
          </wp:inline>
        </w:drawing>
      </w:r>
      <w:r>
        <w:rPr>
          <w:sz w:val="28"/>
          <w:szCs w:val="28"/>
        </w:rPr>
        <w:t xml:space="preserve"> </w:t>
      </w:r>
      <w:r>
        <w:rPr>
          <w:sz w:val="28"/>
          <w:szCs w:val="28"/>
        </w:rPr>
        <w:t>- расходы на оплату труда водителей транспортных средств i-го класса</w:t>
        <w:br/>
        <w:t>в t-ый год срока действия контракта в расчете на 1 км пробега, руб.;</w:t>
      </w:r>
    </w:p>
    <w:p>
      <w:pPr>
        <w:pStyle w:val="ConsPlusNormal"/>
        <w:spacing w:before="0" w:after="0"/>
        <w:ind w:left="0" w:right="0" w:firstLine="709"/>
        <w:jc w:val="both"/>
        <w:rPr/>
      </w:pPr>
      <w:r>
        <w:rPr/>
        <w:drawing>
          <wp:inline distT="0" distB="0" distL="0" distR="0">
            <wp:extent cx="380365" cy="278130"/>
            <wp:effectExtent l="0" t="0" r="0" b="0"/>
            <wp:docPr id="157" name="Рисунок 1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Рисунок 172" descr=""/>
                    <pic:cNvPicPr>
                      <a:picLocks noChangeAspect="1" noChangeArrowheads="1"/>
                    </pic:cNvPicPr>
                  </pic:nvPicPr>
                  <pic:blipFill>
                    <a:blip r:embed="rId172"/>
                    <a:stretch>
                      <a:fillRect/>
                    </a:stretch>
                  </pic:blipFill>
                  <pic:spPr bwMode="auto">
                    <a:xfrm>
                      <a:off x="0" y="0"/>
                      <a:ext cx="380365" cy="278130"/>
                    </a:xfrm>
                    <a:prstGeom prst="rect">
                      <a:avLst/>
                    </a:prstGeom>
                  </pic:spPr>
                </pic:pic>
              </a:graphicData>
            </a:graphic>
          </wp:inline>
        </w:drawing>
      </w:r>
      <w:r>
        <w:rPr>
          <w:sz w:val="28"/>
          <w:szCs w:val="28"/>
        </w:rPr>
        <w:t xml:space="preserve"> </w:t>
      </w:r>
      <w:r>
        <w:rPr>
          <w:sz w:val="28"/>
          <w:szCs w:val="28"/>
        </w:rPr>
        <w:t>- расходы на оплату труда кондукторов транспортных средств в t-ый год срока действия контракта в расчете на 1 км пробега, руб.;</w:t>
      </w:r>
    </w:p>
    <w:p>
      <w:pPr>
        <w:pStyle w:val="ConsPlusNormal"/>
        <w:spacing w:before="0" w:after="0"/>
        <w:ind w:left="0" w:right="0" w:firstLine="709"/>
        <w:jc w:val="both"/>
        <w:rPr/>
      </w:pPr>
      <w:r>
        <w:rPr/>
        <w:drawing>
          <wp:inline distT="0" distB="0" distL="0" distR="0">
            <wp:extent cx="314325" cy="278130"/>
            <wp:effectExtent l="0" t="0" r="0" b="0"/>
            <wp:docPr id="158" name="Рисунок 1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Рисунок 173" descr=""/>
                    <pic:cNvPicPr>
                      <a:picLocks noChangeAspect="1" noChangeArrowheads="1"/>
                    </pic:cNvPicPr>
                  </pic:nvPicPr>
                  <pic:blipFill>
                    <a:blip r:embed="rId173"/>
                    <a:stretch>
                      <a:fillRect/>
                    </a:stretch>
                  </pic:blipFill>
                  <pic:spPr bwMode="auto">
                    <a:xfrm>
                      <a:off x="0" y="0"/>
                      <a:ext cx="314325" cy="278130"/>
                    </a:xfrm>
                    <a:prstGeom prst="rect">
                      <a:avLst/>
                    </a:prstGeom>
                  </pic:spPr>
                </pic:pic>
              </a:graphicData>
            </a:graphic>
          </wp:inline>
        </w:drawing>
      </w:r>
      <w:r>
        <w:rPr>
          <w:sz w:val="28"/>
          <w:szCs w:val="28"/>
        </w:rPr>
        <w:t xml:space="preserve"> </w:t>
      </w:r>
      <w:r>
        <w:rPr>
          <w:sz w:val="28"/>
          <w:szCs w:val="28"/>
        </w:rPr>
        <w:t>-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 определяемый в соответствии с законодательством Российской Федерации, %.</w:t>
      </w:r>
    </w:p>
    <w:p>
      <w:pPr>
        <w:pStyle w:val="ConsPlusNormal"/>
        <w:spacing w:before="0" w:after="0"/>
        <w:ind w:left="0" w:right="0" w:firstLine="709"/>
        <w:jc w:val="both"/>
        <w:rPr/>
      </w:pPr>
      <w:bookmarkStart w:id="30" w:name="Par615"/>
      <w:bookmarkEnd w:id="30"/>
      <w:r>
        <w:rPr>
          <w:sz w:val="28"/>
          <w:szCs w:val="28"/>
        </w:rPr>
        <w:t>7. Расходы на электроэнергию на движение транспортных средств i-го класса в t-ом году срока действия контракта в расчете на 1 км пробега (</w:t>
      </w:r>
      <w:r>
        <w:rPr>
          <w:i/>
          <w:iCs/>
          <w:sz w:val="28"/>
          <w:szCs w:val="28"/>
        </w:rPr>
        <w:t>Р</w:t>
      </w:r>
      <w:r>
        <w:rPr>
          <w:i/>
          <w:iCs/>
          <w:sz w:val="28"/>
          <w:szCs w:val="28"/>
          <w:vertAlign w:val="subscript"/>
        </w:rPr>
        <w:t>эti</w:t>
      </w:r>
      <w:r>
        <w:rPr>
          <w:sz w:val="28"/>
          <w:szCs w:val="28"/>
        </w:rPr>
        <w:t>) определяются по формуле (7).</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3248025" cy="278130"/>
            <wp:effectExtent l="0" t="0" r="0" b="0"/>
            <wp:docPr id="159" name="Рисунок 1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Рисунок 175" descr=""/>
                    <pic:cNvPicPr>
                      <a:picLocks noChangeAspect="1" noChangeArrowheads="1"/>
                    </pic:cNvPicPr>
                  </pic:nvPicPr>
                  <pic:blipFill>
                    <a:blip r:embed="rId174"/>
                    <a:stretch>
                      <a:fillRect/>
                    </a:stretch>
                  </pic:blipFill>
                  <pic:spPr bwMode="auto">
                    <a:xfrm>
                      <a:off x="0" y="0"/>
                      <a:ext cx="3248025" cy="278130"/>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sz w:val="28"/>
          <w:szCs w:val="28"/>
        </w:rPr>
        <w:t xml:space="preserve">1,18 </w:t>
      </w:r>
      <w:r>
        <w:rPr>
          <w:rFonts w:eastAsia="" w:cs="Times New Roman" w:eastAsiaTheme="minorEastAsia"/>
          <w:color w:val="auto"/>
          <w:kern w:val="0"/>
          <w:sz w:val="28"/>
          <w:szCs w:val="28"/>
          <w:lang w:val="ru-RU" w:eastAsia="ru-RU" w:bidi="ar-SA"/>
        </w:rPr>
        <w:t>−</w:t>
      </w:r>
      <w:r>
        <w:rPr>
          <w:sz w:val="28"/>
          <w:szCs w:val="28"/>
        </w:rPr>
        <w:t xml:space="preserve"> коэффициент, учитывающий потери в тяговых подстанциях, в системе электроснабжения, а также расходы электроэнергии на вспомогательные производственные процессы (прочее производственное потребление);</w:t>
      </w:r>
    </w:p>
    <w:p>
      <w:pPr>
        <w:pStyle w:val="ConsPlusNormal"/>
        <w:spacing w:before="0" w:after="0"/>
        <w:ind w:left="0" w:right="0" w:firstLine="709"/>
        <w:jc w:val="both"/>
        <w:rPr/>
      </w:pPr>
      <w:r>
        <w:rPr/>
        <w:drawing>
          <wp:inline distT="0" distB="0" distL="0" distR="0">
            <wp:extent cx="321945" cy="278130"/>
            <wp:effectExtent l="0" t="0" r="0" b="0"/>
            <wp:docPr id="160" name="Рисунок 1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Рисунок 176" descr=""/>
                    <pic:cNvPicPr>
                      <a:picLocks noChangeAspect="1" noChangeArrowheads="1"/>
                    </pic:cNvPicPr>
                  </pic:nvPicPr>
                  <pic:blipFill>
                    <a:blip r:embed="rId175"/>
                    <a:stretch>
                      <a:fillRect/>
                    </a:stretch>
                  </pic:blipFill>
                  <pic:spPr bwMode="auto">
                    <a:xfrm>
                      <a:off x="0" y="0"/>
                      <a:ext cx="32194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потребление электроэнергии на движение транспортных средств</w:t>
        <w:br/>
        <w:t xml:space="preserve">i-го класса, КВт.ч/км (для трамвайных вагонов большого класса принимается равным не менее 2,7, для трамвайных вагонов особо большого класса </w:t>
      </w:r>
      <w:r>
        <w:rPr>
          <w:rFonts w:eastAsia="" w:cs="Times New Roman" w:eastAsiaTheme="minorEastAsia"/>
          <w:sz w:val="28"/>
          <w:szCs w:val="28"/>
          <w:lang w:eastAsia="ru-RU"/>
        </w:rPr>
        <w:t>−</w:t>
      </w:r>
      <w:r>
        <w:rPr>
          <w:sz w:val="28"/>
          <w:szCs w:val="28"/>
        </w:rPr>
        <w:t xml:space="preserve"> не менее 4,6, для трамвайных поездов – как сумма потреблений энергии каждого из вагонов в составе поезда);</w:t>
      </w:r>
    </w:p>
    <w:p>
      <w:pPr>
        <w:pStyle w:val="ConsPlusNormal"/>
        <w:spacing w:before="0" w:after="0"/>
        <w:ind w:left="0" w:right="0" w:firstLine="709"/>
        <w:jc w:val="both"/>
        <w:rPr/>
      </w:pPr>
      <w:r>
        <w:rPr/>
        <w:drawing>
          <wp:inline distT="0" distB="0" distL="0" distR="0">
            <wp:extent cx="263525" cy="278130"/>
            <wp:effectExtent l="0" t="0" r="0" b="0"/>
            <wp:docPr id="161" name="Рисунок 1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Рисунок 177" descr=""/>
                    <pic:cNvPicPr>
                      <a:picLocks noChangeAspect="1" noChangeArrowheads="1"/>
                    </pic:cNvPicPr>
                  </pic:nvPicPr>
                  <pic:blipFill>
                    <a:blip r:embed="rId176"/>
                    <a:stretch>
                      <a:fillRect/>
                    </a:stretch>
                  </pic:blipFill>
                  <pic:spPr bwMode="auto">
                    <a:xfrm>
                      <a:off x="0" y="0"/>
                      <a:ext cx="26352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цена 1 КВт.ч электроэнергии, включая НДС, по состоянию на конец года, предшествующего году заключения контракта, руб. (принимается в соответствии с фактическими удельными расходами предприятия электротранспорта за прошлый год, а при отсутствии таких данных – в соответствии с данными территориальных органов Росстата);</w:t>
      </w:r>
    </w:p>
    <w:p>
      <w:pPr>
        <w:pStyle w:val="ConsPlusNormal"/>
        <w:spacing w:before="0" w:after="0"/>
        <w:ind w:left="0" w:right="0" w:firstLine="709"/>
        <w:jc w:val="both"/>
        <w:rPr/>
      </w:pPr>
      <w:r>
        <w:rPr/>
        <w:drawing>
          <wp:inline distT="0" distB="0" distL="0" distR="0">
            <wp:extent cx="226695" cy="278130"/>
            <wp:effectExtent l="0" t="0" r="0" b="0"/>
            <wp:docPr id="162" name="Рисунок 1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Рисунок 178" descr=""/>
                    <pic:cNvPicPr>
                      <a:picLocks noChangeAspect="1" noChangeArrowheads="1"/>
                    </pic:cNvPicPr>
                  </pic:nvPicPr>
                  <pic:blipFill>
                    <a:blip r:embed="rId177"/>
                    <a:stretch>
                      <a:fillRect/>
                    </a:stretch>
                  </pic:blipFill>
                  <pic:spPr bwMode="auto">
                    <a:xfrm>
                      <a:off x="0" y="0"/>
                      <a:ext cx="22669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индекс цен на электрическую энергию для t-ого года срока действия контракта (принимаемый в соответствии с публикуемыми Минэкономразвития России прогнозами социально-экономического развития Российской Федерации (если срок действия контракта превышает срок прогноза, индекс цен на электрическую энергию для каждого года срока действия контракта, не указанного в прогнозе, принимается равным индексу цен на электрическую энергию, указанному для последнего года прогноза)).</w:t>
      </w:r>
    </w:p>
    <w:p>
      <w:pPr>
        <w:pStyle w:val="ConsPlusNormal"/>
        <w:spacing w:before="0" w:after="0"/>
        <w:ind w:left="0" w:right="0" w:firstLine="709"/>
        <w:jc w:val="both"/>
        <w:rPr/>
      </w:pPr>
      <w:bookmarkStart w:id="31" w:name="Par624"/>
      <w:bookmarkEnd w:id="31"/>
      <w:r>
        <w:rPr>
          <w:sz w:val="28"/>
          <w:szCs w:val="28"/>
        </w:rPr>
        <w:t>8. Расходы на техническое обслуживание и ремонт транспортных средств i-го класса в t-ый год срока действия контракта в расчете на 1 км пробега (</w:t>
      </w:r>
      <w:r>
        <w:rPr>
          <w:i/>
          <w:iCs/>
          <w:sz w:val="28"/>
          <w:szCs w:val="28"/>
        </w:rPr>
        <w:t>Р</w:t>
      </w:r>
      <w:r>
        <w:rPr>
          <w:i/>
          <w:iCs/>
          <w:sz w:val="28"/>
          <w:szCs w:val="28"/>
          <w:vertAlign w:val="subscript"/>
        </w:rPr>
        <w:t>ТОti</w:t>
      </w:r>
      <w:r>
        <w:rPr>
          <w:sz w:val="28"/>
          <w:szCs w:val="28"/>
        </w:rPr>
        <w:t>) определяются по формуле (8).</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r>
      <m:oMath xmlns:m="http://schemas.openxmlformats.org/officeDocument/2006/math">
        <m:sSub>
          <m:e>
            <m:r>
              <w:rPr>
                <w:rFonts w:ascii="Cambria Math" w:hAnsi="Cambria Math"/>
              </w:rPr>
              <m:t xml:space="preserve">Р</m:t>
            </m:r>
          </m:e>
          <m:sub>
            <m:r>
              <w:rPr>
                <w:rFonts w:ascii="Cambria Math" w:hAnsi="Cambria Math"/>
              </w:rPr>
              <m:t xml:space="preserve">ТО</m:t>
            </m:r>
            <m:r>
              <w:rPr>
                <w:rFonts w:ascii="Cambria Math" w:hAnsi="Cambria Math"/>
              </w:rPr>
              <m:t xml:space="preserve">ti</m:t>
            </m:r>
          </m:sub>
        </m:sSub>
        <m:r>
          <w:rPr>
            <w:rFonts w:ascii="Cambria Math" w:hAnsi="Cambria Math"/>
          </w:rPr>
          <m:t xml:space="preserve">=</m:t>
        </m:r>
        <m:sSub>
          <m:e>
            <m:r>
              <w:rPr>
                <w:rFonts w:ascii="Cambria Math" w:hAnsi="Cambria Math"/>
              </w:rPr>
              <m:t xml:space="preserve">ФОТ</m:t>
            </m:r>
          </m:e>
          <m:sub>
            <m:r>
              <w:rPr>
                <w:rFonts w:ascii="Cambria Math" w:hAnsi="Cambria Math"/>
              </w:rPr>
              <m:t xml:space="preserve">ppi</m:t>
            </m:r>
          </m:sub>
        </m:sSub>
        <m:r>
          <w:rPr>
            <w:rFonts w:ascii="Cambria Math" w:hAnsi="Cambria Math"/>
          </w:rPr>
          <m:t xml:space="preserve">+</m:t>
        </m:r>
        <m:sSub>
          <m:e>
            <m:r>
              <w:rPr>
                <w:rFonts w:ascii="Cambria Math" w:hAnsi="Cambria Math"/>
              </w:rPr>
              <m:t xml:space="preserve">Р</m:t>
            </m:r>
          </m:e>
          <m:sub>
            <m:r>
              <w:rPr>
                <w:rFonts w:ascii="Cambria Math" w:hAnsi="Cambria Math"/>
              </w:rPr>
              <m:t xml:space="preserve">ЗЧ</m:t>
            </m:r>
            <m:r>
              <w:rPr>
                <w:rFonts w:ascii="Cambria Math" w:hAnsi="Cambria Math"/>
              </w:rPr>
              <m:t xml:space="preserve">ti</m:t>
            </m:r>
          </m:sub>
        </m:sSub>
        <m:r>
          <w:rPr>
            <w:rFonts w:ascii="Cambria Math" w:hAnsi="Cambria Math"/>
          </w:rPr>
          <m:t xml:space="preserve">+</m:t>
        </m:r>
        <m:sSub>
          <m:e>
            <m:r>
              <w:rPr>
                <w:rFonts w:ascii="Cambria Math" w:hAnsi="Cambria Math"/>
              </w:rPr>
              <m:t xml:space="preserve">КР</m:t>
            </m:r>
          </m:e>
          <m:sub>
            <m:r>
              <w:rPr>
                <w:rFonts w:ascii="Cambria Math" w:hAnsi="Cambria Math"/>
              </w:rPr>
              <m:t xml:space="preserve">i</m:t>
            </m:r>
          </m:sub>
        </m:sSub>
      </m:oMath>
      <w:r>
        <w:rPr>
          <w:i/>
          <w:sz w:val="28"/>
          <w:szCs w:val="28"/>
        </w:rPr>
        <w:t xml:space="preserve">, </w:t>
      </w:r>
      <w:r>
        <w:rPr>
          <w:sz w:val="28"/>
          <w:szCs w:val="28"/>
        </w:rPr>
        <w:t>руб./км (8)</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592455" cy="285115"/>
            <wp:effectExtent l="0" t="0" r="0" b="0"/>
            <wp:docPr id="163" name="Рисунок 1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Рисунок 181" descr=""/>
                    <pic:cNvPicPr>
                      <a:picLocks noChangeAspect="1" noChangeArrowheads="1"/>
                    </pic:cNvPicPr>
                  </pic:nvPicPr>
                  <pic:blipFill>
                    <a:blip r:embed="rId178"/>
                    <a:stretch>
                      <a:fillRect/>
                    </a:stretch>
                  </pic:blipFill>
                  <pic:spPr bwMode="auto">
                    <a:xfrm>
                      <a:off x="0" y="0"/>
                      <a:ext cx="592455"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631" w:tgtFrame="9. Расходы на оплату труда ремонтных рабочих с отчислениями на социальные нужды в расчете на 1 км пробега транспортных средств i-го класса в t-ый год срока действия контракта (_) определяются по формуле (9).">
        <w:r>
          <w:rPr>
            <w:sz w:val="28"/>
            <w:szCs w:val="28"/>
          </w:rPr>
          <w:t>пунктом 9</w:t>
        </w:r>
      </w:hyperlink>
      <w:r>
        <w:rPr>
          <w:sz w:val="28"/>
          <w:szCs w:val="28"/>
        </w:rPr>
        <w:t xml:space="preserve"> настоящего приложения расходы на оплату труда ремонтных рабочих с отчислениями на социальные нужды в расчете на 1 км пробега транспортных средств i-го класса в t-ый год срока действия контракта;</w:t>
      </w:r>
    </w:p>
    <w:p>
      <w:pPr>
        <w:pStyle w:val="ConsPlusNormal"/>
        <w:spacing w:before="0" w:after="0"/>
        <w:ind w:left="0" w:right="0" w:firstLine="709"/>
        <w:jc w:val="both"/>
        <w:rPr/>
      </w:pPr>
      <w:r>
        <w:rPr/>
        <w:drawing>
          <wp:inline distT="0" distB="0" distL="0" distR="0">
            <wp:extent cx="365760" cy="278130"/>
            <wp:effectExtent l="0" t="0" r="0" b="0"/>
            <wp:docPr id="164" name="Рисунок 1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Рисунок 182" descr=""/>
                    <pic:cNvPicPr>
                      <a:picLocks noChangeAspect="1" noChangeArrowheads="1"/>
                    </pic:cNvPicPr>
                  </pic:nvPicPr>
                  <pic:blipFill>
                    <a:blip r:embed="rId179"/>
                    <a:stretch>
                      <a:fillRect/>
                    </a:stretch>
                  </pic:blipFill>
                  <pic:spPr bwMode="auto">
                    <a:xfrm>
                      <a:off x="0" y="0"/>
                      <a:ext cx="36576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689" w:tgtFrame="11. Расходы на запасные части и материалы, используемые при техническом обслуживании и ремонте транспортных средств i-го класса в t-ый год срока действия контракта в расчете на 1 км пробега (_) определяются по формуле (11).">
        <w:r>
          <w:rPr>
            <w:sz w:val="28"/>
            <w:szCs w:val="28"/>
          </w:rPr>
          <w:t>пунктом 11</w:t>
        </w:r>
      </w:hyperlink>
      <w:r>
        <w:rPr>
          <w:sz w:val="28"/>
          <w:szCs w:val="28"/>
        </w:rPr>
        <w:t xml:space="preserve"> настоящего приложения расходы на запасные части и материалы, используемые при техническом обслуживании и ремонте транспортных средств i-го класса в t-ый год срока действия контракта в расчете на 1 км пробега.</w:t>
      </w:r>
    </w:p>
    <w:p>
      <w:pPr>
        <w:pStyle w:val="ConsPlusNormal"/>
        <w:spacing w:before="0" w:after="0"/>
        <w:ind w:left="0" w:right="0" w:firstLine="709"/>
        <w:jc w:val="both"/>
        <w:rPr/>
      </w:pPr>
      <w:r>
        <w:rPr>
          <w:sz w:val="28"/>
          <w:szCs w:val="28"/>
        </w:rPr>
        <w:t>КР</w:t>
      </w:r>
      <w:r>
        <w:rPr>
          <w:sz w:val="28"/>
          <w:szCs w:val="28"/>
          <w:vertAlign w:val="subscript"/>
          <w:lang w:val="en-US"/>
        </w:rPr>
        <w:t>i</w:t>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определенные в соответствии с пунктом 12 настоящего приложения расходы на капитальный ремонт трамвая i-го класса в t-ый год срока действия контракта в расчете на 1 км пробега.</w:t>
      </w:r>
      <w:bookmarkStart w:id="32" w:name="Par631"/>
      <w:bookmarkEnd w:id="32"/>
    </w:p>
    <w:p>
      <w:pPr>
        <w:pStyle w:val="ConsPlusNormal"/>
        <w:spacing w:before="0" w:after="0"/>
        <w:ind w:left="0" w:right="0" w:firstLine="709"/>
        <w:jc w:val="both"/>
        <w:rPr/>
      </w:pPr>
      <w:r>
        <w:rPr>
          <w:sz w:val="28"/>
          <w:szCs w:val="28"/>
        </w:rPr>
        <w:t>9. Расходы на оплату труда ремонтных рабочих с отчислениями на социальные нужды в расчете на 1 км пробега транспортных средств i-го класса</w:t>
        <w:br/>
        <w:t>в t-ый год срока действия контракта (</w:t>
      </w:r>
      <w:r>
        <w:rPr>
          <w:i/>
          <w:iCs/>
          <w:sz w:val="28"/>
          <w:szCs w:val="28"/>
        </w:rPr>
        <w:t>ФОТ</w:t>
      </w:r>
      <w:r>
        <w:rPr>
          <w:i/>
          <w:iCs/>
          <w:sz w:val="28"/>
          <w:szCs w:val="28"/>
          <w:vertAlign w:val="subscript"/>
        </w:rPr>
        <w:t>ppi</w:t>
      </w:r>
      <w:r>
        <w:rPr>
          <w:sz w:val="28"/>
          <w:szCs w:val="28"/>
        </w:rPr>
        <w:t>) определяются по формуле (9).</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r>
      <m:oMath xmlns:m="http://schemas.openxmlformats.org/officeDocument/2006/math">
        <m:sSub>
          <m:e>
            <m:r>
              <w:rPr>
                <w:rFonts w:ascii="Cambria Math" w:hAnsi="Cambria Math"/>
              </w:rPr>
              <m:t xml:space="preserve">ФОТ</m:t>
            </m:r>
          </m:e>
          <m:sub>
            <m:r>
              <w:rPr>
                <w:rFonts w:ascii="Cambria Math" w:hAnsi="Cambria Math"/>
              </w:rPr>
              <m:t xml:space="preserve">ppi</m:t>
            </m:r>
          </m:sub>
        </m:sSub>
        <m:r>
          <w:rPr>
            <w:rFonts w:ascii="Cambria Math" w:hAnsi="Cambria Math"/>
          </w:rPr>
          <m:t xml:space="preserve">=</m:t>
        </m:r>
        <m:d>
          <m:dPr>
            <m:begChr m:val="("/>
            <m:endChr m:val=")"/>
          </m:dPr>
          <m:e>
            <m:f>
              <m:num>
                <m:r>
                  <w:rPr>
                    <w:rFonts w:ascii="Cambria Math" w:hAnsi="Cambria Math"/>
                  </w:rPr>
                  <m:t xml:space="preserve">12</m:t>
                </m:r>
                <m:r>
                  <w:rPr>
                    <w:rFonts w:ascii="Cambria Math" w:hAnsi="Cambria Math"/>
                  </w:rPr>
                  <m:t xml:space="preserve">×</m:t>
                </m:r>
                <m:r>
                  <w:rPr>
                    <w:rFonts w:ascii="Cambria Math" w:hAnsi="Cambria Math"/>
                  </w:rPr>
                  <m:t xml:space="preserve">ЗПР</m:t>
                </m:r>
              </m:num>
              <m:den>
                <m:sSub>
                  <m:e>
                    <m:r>
                      <w:rPr>
                        <w:rFonts w:ascii="Cambria Math" w:hAnsi="Cambria Math"/>
                      </w:rPr>
                      <m:t xml:space="preserve">ФРВ</m:t>
                    </m:r>
                  </m:e>
                  <m:sub>
                    <m:r>
                      <w:rPr>
                        <w:rFonts w:ascii="Cambria Math" w:hAnsi="Cambria Math"/>
                      </w:rPr>
                      <m:t xml:space="preserve">рр</m:t>
                    </m:r>
                  </m:sub>
                </m:sSub>
              </m:den>
            </m:f>
          </m:e>
        </m:d>
        <m:r>
          <w:rPr>
            <w:rFonts w:ascii="Cambria Math" w:hAnsi="Cambria Math"/>
          </w:rPr>
          <m:t xml:space="preserve">×</m:t>
        </m:r>
        <m:sSub>
          <m:e>
            <m:r>
              <w:rPr>
                <w:rFonts w:ascii="Cambria Math" w:hAnsi="Cambria Math"/>
              </w:rPr>
              <m:t xml:space="preserve">I</m:t>
            </m:r>
          </m:e>
          <m:sub>
            <m:r>
              <w:rPr>
                <w:rFonts w:ascii="Cambria Math" w:hAnsi="Cambria Math"/>
              </w:rPr>
              <m:t xml:space="preserve">пц</m:t>
            </m:r>
            <m:r>
              <w:rPr>
                <w:rFonts w:ascii="Cambria Math" w:hAnsi="Cambria Math"/>
              </w:rPr>
              <m:t xml:space="preserve">t</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Т</m:t>
            </m:r>
            <m:r>
              <w:rPr>
                <w:rFonts w:ascii="Cambria Math" w:hAnsi="Cambria Math"/>
              </w:rPr>
              <m:t xml:space="preserve">i</m:t>
            </m:r>
          </m:sub>
        </m:sSub>
        <m:r>
          <w:rPr>
            <w:rFonts w:ascii="Cambria Math" w:hAnsi="Cambria Math"/>
          </w:rPr>
          <m:t xml:space="preserve">×</m:t>
        </m:r>
        <m:r>
          <w:rPr>
            <w:rFonts w:ascii="Cambria Math" w:hAnsi="Cambria Math"/>
          </w:rPr>
          <m:t xml:space="preserve">0,001</m:t>
        </m:r>
        <m:r>
          <w:rPr>
            <w:rFonts w:ascii="Cambria Math" w:hAnsi="Cambria Math"/>
          </w:rPr>
          <m:t xml:space="preserve">×</m:t>
        </m:r>
        <m:sSub>
          <m:e>
            <m:r>
              <w:rPr>
                <w:rFonts w:ascii="Cambria Math" w:hAnsi="Cambria Math"/>
              </w:rPr>
              <m:t xml:space="preserve">К</m:t>
            </m:r>
          </m:e>
          <m:sub>
            <m:r>
              <w:rPr>
                <w:rFonts w:ascii="Cambria Math" w:hAnsi="Cambria Math"/>
              </w:rPr>
              <m:t xml:space="preserve">ТО</m:t>
            </m:r>
          </m:sub>
        </m:sSub>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f>
              <m:fPr>
                <m:type m:val="lin"/>
              </m:fPr>
              <m:num>
                <m:sSub>
                  <m:e>
                    <m:r>
                      <w:rPr>
                        <w:rFonts w:ascii="Cambria Math" w:hAnsi="Cambria Math"/>
                      </w:rPr>
                      <m:t xml:space="preserve">С</m:t>
                    </m:r>
                  </m:e>
                  <m:sub>
                    <m:r>
                      <w:rPr>
                        <w:rFonts w:ascii="Cambria Math" w:hAnsi="Cambria Math"/>
                      </w:rPr>
                      <m:t xml:space="preserve">ТС</m:t>
                    </m:r>
                  </m:sub>
                </m:sSub>
              </m:num>
              <m:den>
                <m:r>
                  <w:rPr>
                    <w:rFonts w:ascii="Cambria Math" w:hAnsi="Cambria Math"/>
                  </w:rPr>
                  <m:t xml:space="preserve">100</m:t>
                </m:r>
              </m:den>
            </m:f>
          </m:e>
        </m:d>
      </m:oMath>
      <w:r>
        <w:rPr>
          <w:i/>
          <w:sz w:val="28"/>
          <w:szCs w:val="28"/>
        </w:rPr>
        <w:t xml:space="preserve">, </w:t>
      </w:r>
      <w:r>
        <w:rPr>
          <w:sz w:val="28"/>
          <w:szCs w:val="28"/>
        </w:rPr>
        <w:t>руб./км (9)</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sz w:val="28"/>
          <w:szCs w:val="28"/>
        </w:rPr>
        <w:t xml:space="preserve">0,001 </w:t>
      </w:r>
      <w:r>
        <w:rPr>
          <w:rFonts w:eastAsia="" w:cs="Times New Roman" w:eastAsiaTheme="minorEastAsia"/>
          <w:color w:val="auto"/>
          <w:kern w:val="0"/>
          <w:sz w:val="28"/>
          <w:szCs w:val="28"/>
          <w:lang w:val="ru-RU" w:eastAsia="ru-RU" w:bidi="ar-SA"/>
        </w:rPr>
        <w:t>−</w:t>
      </w:r>
      <w:r>
        <w:rPr>
          <w:sz w:val="28"/>
          <w:szCs w:val="28"/>
        </w:rPr>
        <w:t xml:space="preserve"> коэффициент приведения базовой удельной трудоемкости технического обслуживания и ремонта транспортных средств к 1 км пробега;</w:t>
      </w:r>
    </w:p>
    <w:p>
      <w:pPr>
        <w:pStyle w:val="ConsPlusNormal"/>
        <w:spacing w:before="0" w:after="0"/>
        <w:ind w:left="0" w:right="0" w:firstLine="709"/>
        <w:jc w:val="both"/>
        <w:rPr/>
      </w:pPr>
      <w:r>
        <w:rPr>
          <w:sz w:val="28"/>
          <w:szCs w:val="28"/>
        </w:rPr>
        <w:t xml:space="preserve">12 </w:t>
      </w:r>
      <w:r>
        <w:rPr>
          <w:rFonts w:eastAsia="" w:cs="Times New Roman" w:eastAsiaTheme="minorEastAsia"/>
          <w:color w:val="auto"/>
          <w:kern w:val="0"/>
          <w:sz w:val="28"/>
          <w:szCs w:val="28"/>
          <w:lang w:val="ru-RU" w:eastAsia="ru-RU" w:bidi="ar-SA"/>
        </w:rPr>
        <w:t>−</w:t>
      </w:r>
      <w:r>
        <w:rPr>
          <w:sz w:val="28"/>
          <w:szCs w:val="28"/>
        </w:rPr>
        <w:t xml:space="preserve"> количество месяцев в году;</w:t>
      </w:r>
    </w:p>
    <w:p>
      <w:pPr>
        <w:pStyle w:val="ConsPlusNormal"/>
        <w:spacing w:before="0" w:after="0"/>
        <w:ind w:left="0" w:right="0" w:firstLine="709"/>
        <w:jc w:val="both"/>
        <w:rPr/>
      </w:pPr>
      <w:r>
        <w:rPr/>
        <w:drawing>
          <wp:inline distT="0" distB="0" distL="0" distR="0">
            <wp:extent cx="278130" cy="285115"/>
            <wp:effectExtent l="0" t="0" r="0" b="0"/>
            <wp:docPr id="165" name="Рисунок 1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Рисунок 185" descr=""/>
                    <pic:cNvPicPr>
                      <a:picLocks noChangeAspect="1" noChangeArrowheads="1"/>
                    </pic:cNvPicPr>
                  </pic:nvPicPr>
                  <pic:blipFill>
                    <a:blip r:embed="rId180"/>
                    <a:stretch>
                      <a:fillRect/>
                    </a:stretch>
                  </pic:blipFill>
                  <pic:spPr bwMode="auto">
                    <a:xfrm>
                      <a:off x="0" y="0"/>
                      <a:ext cx="278130"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индекс потребительских цен для t-ого года срока действия контракта, принимаемый в соответствии с публикуемыми Минэкономразвития России прогнозами социально-экономического развития Российской Федерации (если срок действия контракта превышает срок прогноза, индекс потребительских цен для каждого года срока действия контракта, не указанного в прогнозе, принимается равным индексу потребительских цен, указанному для последнего года прогноза);</w:t>
      </w:r>
    </w:p>
    <w:p>
      <w:pPr>
        <w:pStyle w:val="ConsPlusNormal"/>
        <w:spacing w:before="0" w:after="0"/>
        <w:ind w:left="0" w:right="0" w:firstLine="709"/>
        <w:jc w:val="both"/>
        <w:rPr/>
      </w:pPr>
      <w:r>
        <w:rPr>
          <w:i/>
          <w:iCs/>
        </w:rPr>
        <w:t>ЗПР</w:t>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определенная в соответствии с </w:t>
      </w:r>
      <w:hyperlink w:anchor="Par393" w:tgtFrame="12. Расчетная месячная оплата труда ремонтного рабочего (ЗПР) устанавливается на уровне не менее, чем определенном в соответствии с заключенным на территории соответствующего субъекта Российской Федерации, либо муниципального образования региональным, либо тер">
        <w:r>
          <w:rPr>
            <w:sz w:val="28"/>
            <w:szCs w:val="28"/>
          </w:rPr>
          <w:t>пунктом</w:t>
        </w:r>
      </w:hyperlink>
      <w:r>
        <w:rPr>
          <w:sz w:val="28"/>
          <w:szCs w:val="28"/>
        </w:rPr>
        <w:t xml:space="preserve"> 10 настоящего приложения средняя месячная оплата труда ремонтного рабочего, руб./мес.;</w:t>
      </w:r>
    </w:p>
    <w:p>
      <w:pPr>
        <w:pStyle w:val="ConsPlusNormal"/>
        <w:spacing w:before="0" w:after="0"/>
        <w:ind w:left="0" w:right="0" w:firstLine="709"/>
        <w:jc w:val="both"/>
        <w:rPr/>
      </w:pPr>
      <w:r>
        <w:rPr/>
        <w:drawing>
          <wp:inline distT="0" distB="0" distL="0" distR="0">
            <wp:extent cx="226695" cy="278130"/>
            <wp:effectExtent l="0" t="0" r="0" b="0"/>
            <wp:docPr id="166" name="Рисунок 1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Рисунок 187" descr=""/>
                    <pic:cNvPicPr>
                      <a:picLocks noChangeAspect="1" noChangeArrowheads="1"/>
                    </pic:cNvPicPr>
                  </pic:nvPicPr>
                  <pic:blipFill>
                    <a:blip r:embed="rId181"/>
                    <a:stretch>
                      <a:fillRect/>
                    </a:stretch>
                  </pic:blipFill>
                  <pic:spPr bwMode="auto">
                    <a:xfrm>
                      <a:off x="0" y="0"/>
                      <a:ext cx="22669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базовая удельная трудоемкость технического обслуживания транспортного средства i-го класса, час./1000 км (для трамваев большого класса принимается равным не менее 20,0, для трамваев особо большого класса </w:t>
      </w:r>
      <w:r>
        <w:rPr>
          <w:rFonts w:eastAsia="" w:cs="Times New Roman" w:eastAsiaTheme="minorEastAsia"/>
          <w:color w:val="auto"/>
          <w:kern w:val="0"/>
          <w:sz w:val="28"/>
          <w:szCs w:val="28"/>
          <w:lang w:val="ru-RU" w:eastAsia="ru-RU" w:bidi="ar-SA"/>
        </w:rPr>
        <w:t>−</w:t>
      </w:r>
      <w:r>
        <w:rPr>
          <w:sz w:val="28"/>
          <w:szCs w:val="28"/>
        </w:rPr>
        <w:t xml:space="preserve"> не менее 26,0, для трамвайных поездов – как сумма трудоемкостей каждого из вагонов</w:t>
        <w:br/>
        <w:t>в составе поезда, увеличенных на 2 % для каждого из вагонов, кроме первого);</w:t>
      </w:r>
    </w:p>
    <w:p>
      <w:pPr>
        <w:pStyle w:val="ConsPlusNormal"/>
        <w:spacing w:before="0" w:after="0"/>
        <w:ind w:left="0" w:right="0" w:firstLine="709"/>
        <w:jc w:val="both"/>
        <w:rPr/>
      </w:pPr>
      <w:r>
        <w:rPr>
          <w:sz w:val="28"/>
          <w:szCs w:val="28"/>
        </w:rPr>
        <w:t>К</w:t>
      </w:r>
      <w:r>
        <w:rPr>
          <w:sz w:val="28"/>
          <w:szCs w:val="28"/>
          <w:vertAlign w:val="subscript"/>
        </w:rPr>
        <w:t>ТО</w:t>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коэффициент корректировки базовой удельной трудоемкости технического обслуживания транспортных средств в зависимости от природно-климатических условий (принимается в соответствии с </w:t>
      </w:r>
      <w:hyperlink w:anchor="Par650" w:tgtFrame="Коэффициенты корректировки">
        <w:r>
          <w:rPr>
            <w:sz w:val="28"/>
            <w:szCs w:val="28"/>
          </w:rPr>
          <w:t>таблицей 2</w:t>
        </w:r>
      </w:hyperlink>
      <w:r>
        <w:rPr>
          <w:sz w:val="28"/>
          <w:szCs w:val="28"/>
        </w:rPr>
        <w:t>);</w:t>
      </w:r>
    </w:p>
    <w:p>
      <w:pPr>
        <w:pStyle w:val="ConsPlusNormal"/>
        <w:spacing w:before="0" w:after="0"/>
        <w:ind w:left="0" w:right="0" w:firstLine="709"/>
        <w:jc w:val="both"/>
        <w:rPr/>
      </w:pPr>
      <w:r>
        <w:rPr/>
        <w:drawing>
          <wp:inline distT="0" distB="0" distL="0" distR="0">
            <wp:extent cx="541020" cy="285115"/>
            <wp:effectExtent l="0" t="0" r="0" b="0"/>
            <wp:docPr id="167" name="Рисунок 1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Рисунок 191" descr=""/>
                    <pic:cNvPicPr>
                      <a:picLocks noChangeAspect="1" noChangeArrowheads="1"/>
                    </pic:cNvPicPr>
                  </pic:nvPicPr>
                  <pic:blipFill>
                    <a:blip r:embed="rId182"/>
                    <a:stretch>
                      <a:fillRect/>
                    </a:stretch>
                  </pic:blipFill>
                  <pic:spPr bwMode="auto">
                    <a:xfrm>
                      <a:off x="0" y="0"/>
                      <a:ext cx="541020"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годовой фонд рабочего времени ремонтного рабочего при соблюдении нормальной, 40 часовой, продолжительности рабочего времени</w:t>
        <w:br/>
        <w:t>в неделю (принимается равным 1812 часов);</w:t>
      </w:r>
    </w:p>
    <w:p>
      <w:pPr>
        <w:pStyle w:val="ConsPlusNormal"/>
        <w:spacing w:before="0" w:after="0"/>
        <w:ind w:left="0" w:right="0" w:firstLine="709"/>
        <w:jc w:val="both"/>
        <w:rPr/>
      </w:pPr>
      <w:r>
        <w:rPr/>
        <w:drawing>
          <wp:inline distT="0" distB="0" distL="0" distR="0">
            <wp:extent cx="314325" cy="278130"/>
            <wp:effectExtent l="0" t="0" r="0" b="0"/>
            <wp:docPr id="168" name="Рисунок 1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Рисунок 192" descr=""/>
                    <pic:cNvPicPr>
                      <a:picLocks noChangeAspect="1" noChangeArrowheads="1"/>
                    </pic:cNvPicPr>
                  </pic:nvPicPr>
                  <pic:blipFill>
                    <a:blip r:embed="rId183"/>
                    <a:stretch>
                      <a:fillRect/>
                    </a:stretch>
                  </pic:blipFill>
                  <pic:spPr bwMode="auto">
                    <a:xfrm>
                      <a:off x="0" y="0"/>
                      <a:ext cx="31432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суммарный тариф отчислений на социальные нужды и обязательное социальное страхование от несчастных случаев на производстве</w:t>
        <w:br/>
        <w:t>и профессиональных заболеваний от расходов на оплату труда, определяемый</w:t>
        <w:br/>
        <w:t>в соответствии с законодательством Российской Федерации, %.</w:t>
      </w:r>
    </w:p>
    <w:p>
      <w:pPr>
        <w:pStyle w:val="ConsPlusNormal"/>
        <w:numPr>
          <w:ilvl w:val="0"/>
          <w:numId w:val="0"/>
        </w:numPr>
        <w:spacing w:before="0" w:after="0"/>
        <w:ind w:left="0" w:right="0" w:firstLine="709"/>
        <w:jc w:val="right"/>
        <w:outlineLvl w:val="2"/>
        <w:rPr/>
      </w:pPr>
      <w:r>
        <w:rPr>
          <w:sz w:val="28"/>
          <w:szCs w:val="28"/>
        </w:rPr>
        <w:t>Таблица 2</w:t>
      </w:r>
    </w:p>
    <w:p>
      <w:pPr>
        <w:pStyle w:val="ConsPlusNormal"/>
        <w:spacing w:before="0" w:after="0"/>
        <w:ind w:left="0" w:right="0" w:firstLine="709"/>
        <w:jc w:val="both"/>
        <w:rPr>
          <w:sz w:val="28"/>
          <w:szCs w:val="28"/>
        </w:rPr>
      </w:pPr>
      <w:r>
        <w:rPr>
          <w:sz w:val="28"/>
          <w:szCs w:val="28"/>
        </w:rPr>
      </w:r>
    </w:p>
    <w:p>
      <w:pPr>
        <w:pStyle w:val="ConsPlusTitle"/>
        <w:widowControl w:val="false"/>
        <w:suppressAutoHyphens w:val="true"/>
        <w:bidi w:val="0"/>
        <w:spacing w:before="0" w:after="0"/>
        <w:ind w:left="0" w:right="0" w:hanging="0"/>
        <w:jc w:val="center"/>
        <w:rPr/>
      </w:pPr>
      <w:bookmarkStart w:id="33" w:name="Par650"/>
      <w:bookmarkEnd w:id="33"/>
      <w:r>
        <w:rPr>
          <w:rFonts w:cs="Times New Roman" w:ascii="Times New Roman" w:hAnsi="Times New Roman"/>
          <w:sz w:val="28"/>
          <w:szCs w:val="28"/>
        </w:rPr>
        <w:t>Коэффициенты корректировки</w:t>
      </w:r>
    </w:p>
    <w:p>
      <w:pPr>
        <w:pStyle w:val="ConsPlusTitle"/>
        <w:widowControl w:val="false"/>
        <w:suppressAutoHyphens w:val="true"/>
        <w:bidi w:val="0"/>
        <w:spacing w:before="0" w:after="0"/>
        <w:ind w:left="0" w:right="0" w:hanging="0"/>
        <w:jc w:val="center"/>
        <w:rPr/>
      </w:pPr>
      <w:r>
        <w:rPr>
          <w:rFonts w:cs="Times New Roman" w:ascii="Times New Roman" w:hAnsi="Times New Roman"/>
          <w:sz w:val="28"/>
          <w:szCs w:val="28"/>
        </w:rPr>
        <w:t>в зависимости от природно-климатических условий базовых</w:t>
      </w:r>
    </w:p>
    <w:p>
      <w:pPr>
        <w:pStyle w:val="ConsPlusTitle"/>
        <w:widowControl w:val="false"/>
        <w:suppressAutoHyphens w:val="true"/>
        <w:bidi w:val="0"/>
        <w:spacing w:before="0" w:after="0"/>
        <w:ind w:left="0" w:right="0" w:hanging="0"/>
        <w:jc w:val="center"/>
        <w:rPr/>
      </w:pPr>
      <w:r>
        <w:rPr>
          <w:rFonts w:cs="Times New Roman" w:ascii="Times New Roman" w:hAnsi="Times New Roman"/>
          <w:sz w:val="28"/>
          <w:szCs w:val="28"/>
        </w:rPr>
        <w:t>удельных трудоемкостей технического обслуживания и текущего</w:t>
      </w:r>
    </w:p>
    <w:p>
      <w:pPr>
        <w:pStyle w:val="ConsPlusTitle"/>
        <w:widowControl w:val="false"/>
        <w:suppressAutoHyphens w:val="true"/>
        <w:bidi w:val="0"/>
        <w:spacing w:before="0" w:after="0"/>
        <w:ind w:left="0" w:right="0" w:hanging="0"/>
        <w:jc w:val="center"/>
        <w:rPr/>
      </w:pPr>
      <w:r>
        <w:rPr>
          <w:rFonts w:cs="Times New Roman" w:ascii="Times New Roman" w:hAnsi="Times New Roman"/>
          <w:sz w:val="28"/>
          <w:szCs w:val="28"/>
        </w:rPr>
        <w:t>ремонта транспортных средств, а также базовых удельных</w:t>
      </w:r>
    </w:p>
    <w:p>
      <w:pPr>
        <w:pStyle w:val="ConsPlusTitle"/>
        <w:widowControl w:val="false"/>
        <w:suppressAutoHyphens w:val="true"/>
        <w:bidi w:val="0"/>
        <w:spacing w:before="0" w:after="0"/>
        <w:ind w:left="0" w:right="0" w:hanging="0"/>
        <w:jc w:val="center"/>
        <w:rPr/>
      </w:pPr>
      <w:r>
        <w:rPr>
          <w:rFonts w:cs="Times New Roman" w:ascii="Times New Roman" w:hAnsi="Times New Roman"/>
          <w:sz w:val="28"/>
          <w:szCs w:val="28"/>
        </w:rPr>
        <w:t>расходов на запасные части и материалы (</w:t>
      </w:r>
      <w:r>
        <w:rPr>
          <w:rFonts w:cs="Times New Roman" w:ascii="Times New Roman" w:hAnsi="Times New Roman"/>
          <w:b w:val="false"/>
          <w:i/>
          <w:sz w:val="28"/>
          <w:szCs w:val="28"/>
        </w:rPr>
        <w:t>К</w:t>
      </w:r>
      <w:r>
        <w:rPr>
          <w:rFonts w:cs="Times New Roman" w:ascii="Times New Roman" w:hAnsi="Times New Roman"/>
          <w:i/>
          <w:sz w:val="28"/>
          <w:szCs w:val="28"/>
          <w:vertAlign w:val="subscript"/>
        </w:rPr>
        <w:t>ТО</w:t>
      </w:r>
      <w:r>
        <w:rPr>
          <w:rFonts w:cs="Times New Roman" w:ascii="Times New Roman" w:hAnsi="Times New Roman"/>
          <w:i/>
          <w:sz w:val="28"/>
          <w:szCs w:val="28"/>
        </w:rPr>
        <w:t xml:space="preserve">, </w:t>
      </w:r>
      <w:r>
        <w:rPr>
          <w:rFonts w:cs="Times New Roman" w:ascii="Times New Roman" w:hAnsi="Times New Roman"/>
          <w:b w:val="false"/>
          <w:i/>
          <w:sz w:val="28"/>
          <w:szCs w:val="28"/>
        </w:rPr>
        <w:t>К</w:t>
      </w:r>
      <w:r>
        <w:rPr>
          <w:rFonts w:cs="Times New Roman" w:ascii="Times New Roman" w:hAnsi="Times New Roman"/>
          <w:b w:val="false"/>
          <w:i/>
          <w:sz w:val="28"/>
          <w:szCs w:val="28"/>
          <w:vertAlign w:val="subscript"/>
        </w:rPr>
        <w:t>ЗЧ</w:t>
      </w:r>
      <w:r>
        <w:rPr>
          <w:rFonts w:cs="Times New Roman" w:ascii="Times New Roman" w:hAnsi="Times New Roman"/>
          <w:sz w:val="28"/>
          <w:szCs w:val="28"/>
        </w:rPr>
        <w:t>)</w:t>
      </w:r>
    </w:p>
    <w:p>
      <w:pPr>
        <w:pStyle w:val="ConsPlusNormal"/>
        <w:spacing w:before="0" w:after="0"/>
        <w:ind w:left="0" w:right="0" w:firstLine="709"/>
        <w:jc w:val="both"/>
        <w:rPr>
          <w:sz w:val="28"/>
          <w:szCs w:val="28"/>
        </w:rPr>
      </w:pPr>
      <w:r>
        <w:rPr>
          <w:sz w:val="28"/>
          <w:szCs w:val="28"/>
        </w:rPr>
      </w:r>
    </w:p>
    <w:tbl>
      <w:tblPr>
        <w:tblW w:w="9424" w:type="dxa"/>
        <w:jc w:val="center"/>
        <w:tblInd w:w="0" w:type="dxa"/>
        <w:tblLayout w:type="fixed"/>
        <w:tblCellMar>
          <w:top w:w="102" w:type="dxa"/>
          <w:left w:w="62" w:type="dxa"/>
          <w:bottom w:w="102" w:type="dxa"/>
          <w:right w:w="62" w:type="dxa"/>
        </w:tblCellMar>
        <w:tblLook w:val="0000" w:noVBand="0" w:noHBand="0" w:lastColumn="0" w:firstColumn="0" w:lastRow="0" w:firstRow="0"/>
      </w:tblPr>
      <w:tblGrid>
        <w:gridCol w:w="7887"/>
        <w:gridCol w:w="795"/>
        <w:gridCol w:w="742"/>
      </w:tblGrid>
      <w:tr>
        <w:trPr/>
        <w:tc>
          <w:tcPr>
            <w:tcW w:w="7887"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Субъект Российской Федерации</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i/>
                <w:i/>
                <w:sz w:val="28"/>
                <w:szCs w:val="28"/>
              </w:rPr>
            </w:pPr>
            <w:r>
              <w:rPr>
                <w:i/>
                <w:sz w:val="28"/>
                <w:szCs w:val="28"/>
              </w:rPr>
              <w:t>К</w:t>
              <w:softHyphen/>
            </w:r>
            <w:r>
              <w:rPr>
                <w:i/>
                <w:sz w:val="28"/>
                <w:szCs w:val="28"/>
                <w:vertAlign w:val="subscript"/>
              </w:rPr>
              <w:t>ТО</w:t>
            </w:r>
          </w:p>
        </w:tc>
        <w:tc>
          <w:tcPr>
            <w:tcW w:w="742"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pPr>
            <w:r>
              <w:rPr/>
              <w:drawing>
                <wp:inline distT="0" distB="0" distL="0" distR="0">
                  <wp:extent cx="336550" cy="278130"/>
                  <wp:effectExtent l="0" t="0" r="0" b="0"/>
                  <wp:docPr id="169" name="Рисунок 1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Рисунок 198" descr=""/>
                          <pic:cNvPicPr>
                            <a:picLocks noChangeAspect="1" noChangeArrowheads="1"/>
                          </pic:cNvPicPr>
                        </pic:nvPicPr>
                        <pic:blipFill>
                          <a:blip r:embed="rId184"/>
                          <a:stretch>
                            <a:fillRect/>
                          </a:stretch>
                        </pic:blipFill>
                        <pic:spPr bwMode="auto">
                          <a:xfrm>
                            <a:off x="0" y="0"/>
                            <a:ext cx="336550" cy="278130"/>
                          </a:xfrm>
                          <a:prstGeom prst="rect">
                            <a:avLst/>
                          </a:prstGeom>
                        </pic:spPr>
                      </pic:pic>
                    </a:graphicData>
                  </a:graphic>
                </wp:inline>
              </w:drawing>
            </w:r>
          </w:p>
        </w:tc>
      </w:tr>
      <w:tr>
        <w:trPr/>
        <w:tc>
          <w:tcPr>
            <w:tcW w:w="7887"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rPr>
                <w:sz w:val="28"/>
                <w:szCs w:val="28"/>
              </w:rPr>
            </w:pPr>
            <w:r>
              <w:rPr>
                <w:sz w:val="28"/>
                <w:szCs w:val="28"/>
              </w:rPr>
              <w:t>Республика Дагестан, Республика Северная Осетия - Алания, Чеченская Республика, Республика Ингушетия, Республика Крым, Кабардино-Балкарская Республика; Краснодарский и Ставропольский края; Калининградская и Ростовская области; город федерального значения Севастополь</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1,0</w:t>
            </w:r>
          </w:p>
        </w:tc>
        <w:tc>
          <w:tcPr>
            <w:tcW w:w="742"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1,0</w:t>
            </w:r>
          </w:p>
        </w:tc>
      </w:tr>
      <w:tr>
        <w:trPr/>
        <w:tc>
          <w:tcPr>
            <w:tcW w:w="7887"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rPr>
                <w:sz w:val="28"/>
                <w:szCs w:val="28"/>
              </w:rPr>
            </w:pPr>
            <w:r>
              <w:rPr>
                <w:sz w:val="28"/>
                <w:szCs w:val="28"/>
              </w:rPr>
              <w:t>Республика Башкортостан, Удмуртская Республика; Пермский край; Курганская, Свердловская, Челябинская области</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1,1</w:t>
            </w:r>
          </w:p>
        </w:tc>
        <w:tc>
          <w:tcPr>
            <w:tcW w:w="742"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1,1</w:t>
            </w:r>
          </w:p>
        </w:tc>
      </w:tr>
      <w:tr>
        <w:trPr/>
        <w:tc>
          <w:tcPr>
            <w:tcW w:w="7887"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rPr>
                <w:sz w:val="28"/>
                <w:szCs w:val="28"/>
              </w:rPr>
            </w:pPr>
            <w:r>
              <w:rPr>
                <w:sz w:val="28"/>
                <w:szCs w:val="28"/>
              </w:rPr>
              <w:t>Республика Алтай, Республика Бурятия, Республика Карелия, Республика Коми, Республика Тыва, Республика Хакасия; Алтайский, Забайкальский, Камчатский, Красноярский, Приморский и Хабаровский края; Амурская, Архангельская, Иркутская, Кемеровская, Мурманская, Новосибирская, Омская, Сахалинская, Томская, Тюменская области; Ненецкий автономный округ, Ханты-Мансийский автономный округ - Югра, Ямало-Ненецкий автономный округ</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1,2</w:t>
            </w:r>
          </w:p>
        </w:tc>
        <w:tc>
          <w:tcPr>
            <w:tcW w:w="742"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1,25</w:t>
            </w:r>
          </w:p>
        </w:tc>
      </w:tr>
      <w:tr>
        <w:trPr/>
        <w:tc>
          <w:tcPr>
            <w:tcW w:w="7887"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rPr>
                <w:sz w:val="28"/>
                <w:szCs w:val="28"/>
              </w:rPr>
            </w:pPr>
            <w:r>
              <w:rPr>
                <w:sz w:val="28"/>
                <w:szCs w:val="28"/>
              </w:rPr>
              <w:t>Республика Саха (Якутия), Магаданская область, Чукотский автономный округ</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1,3</w:t>
            </w:r>
          </w:p>
        </w:tc>
        <w:tc>
          <w:tcPr>
            <w:tcW w:w="742"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1,3</w:t>
            </w:r>
          </w:p>
        </w:tc>
      </w:tr>
      <w:tr>
        <w:trPr/>
        <w:tc>
          <w:tcPr>
            <w:tcW w:w="7887"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both"/>
              <w:rPr>
                <w:sz w:val="28"/>
                <w:szCs w:val="28"/>
              </w:rPr>
            </w:pPr>
            <w:r>
              <w:rPr>
                <w:sz w:val="28"/>
                <w:szCs w:val="28"/>
              </w:rPr>
              <w:t>Прочие</w:t>
            </w:r>
          </w:p>
        </w:tc>
        <w:tc>
          <w:tcPr>
            <w:tcW w:w="79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1,0</w:t>
            </w:r>
          </w:p>
        </w:tc>
        <w:tc>
          <w:tcPr>
            <w:tcW w:w="742"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1,0</w:t>
            </w:r>
          </w:p>
        </w:tc>
      </w:tr>
    </w:tbl>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bookmarkStart w:id="34" w:name="Par681"/>
      <w:bookmarkEnd w:id="34"/>
      <w:r>
        <w:rPr>
          <w:sz w:val="28"/>
          <w:szCs w:val="28"/>
        </w:rPr>
        <w:t xml:space="preserve">10. Средняя месячная оплата труда ремонтного рабочего (ЗПР) (с учетом всех видов премий, надбавок и компенсаций) устанавливается на уровне не менее, чем определенном в соответствии с заключенным на территории соответствующего субъекта Российской Федерации, либо муниципального образования региональным, либо территориальным отраслевым соглашением в рамках реализации </w:t>
      </w:r>
      <w:hyperlink r:id="rId185">
        <w:r>
          <w:rPr>
            <w:sz w:val="28"/>
            <w:szCs w:val="28"/>
          </w:rPr>
          <w:t>статей 45</w:t>
        </w:r>
      </w:hyperlink>
      <w:r>
        <w:rPr>
          <w:sz w:val="28"/>
          <w:szCs w:val="28"/>
        </w:rPr>
        <w:t xml:space="preserve"> и </w:t>
      </w:r>
      <w:hyperlink r:id="rId186">
        <w:r>
          <w:rPr>
            <w:sz w:val="28"/>
            <w:szCs w:val="28"/>
          </w:rPr>
          <w:t>48</w:t>
        </w:r>
      </w:hyperlink>
      <w:r>
        <w:rPr>
          <w:sz w:val="28"/>
          <w:szCs w:val="28"/>
        </w:rPr>
        <w:t xml:space="preserve"> Трудового кодекса Российской Федерации, при отсутствии таких соглашений – на уровне не менее, чем определенном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 При отсутствии на территории соответствующего субъекта Российской Федерации либо муниципального образования регионального либо территориального отраслевого соглашения, заключенного в рамках реализации </w:t>
      </w:r>
      <w:hyperlink r:id="rId187">
        <w:r>
          <w:rPr>
            <w:sz w:val="28"/>
            <w:szCs w:val="28"/>
          </w:rPr>
          <w:t>статей 45</w:t>
        </w:r>
      </w:hyperlink>
      <w:r>
        <w:rPr>
          <w:sz w:val="28"/>
          <w:szCs w:val="28"/>
        </w:rPr>
        <w:t xml:space="preserve"> и </w:t>
      </w:r>
      <w:hyperlink r:id="rId188">
        <w:r>
          <w:rPr>
            <w:sz w:val="28"/>
            <w:szCs w:val="28"/>
          </w:rPr>
          <w:t>48</w:t>
        </w:r>
      </w:hyperlink>
      <w:r>
        <w:rPr>
          <w:sz w:val="28"/>
          <w:szCs w:val="28"/>
        </w:rPr>
        <w:t xml:space="preserve">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 средняя месячная оплата труда ремонтного рабочего (с учетом всех видов премий, надбавок и компенсаций) выбирается наибольшая из определенной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 либо определяется по формуле (10).</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2787015" cy="278130"/>
            <wp:effectExtent l="0" t="0" r="0" b="0"/>
            <wp:docPr id="170" name="Рисунок 1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Рисунок 199" descr=""/>
                    <pic:cNvPicPr>
                      <a:picLocks noChangeAspect="1" noChangeArrowheads="1"/>
                    </pic:cNvPicPr>
                  </pic:nvPicPr>
                  <pic:blipFill>
                    <a:blip r:embed="rId189"/>
                    <a:stretch>
                      <a:fillRect/>
                    </a:stretch>
                  </pic:blipFill>
                  <pic:spPr bwMode="auto">
                    <a:xfrm>
                      <a:off x="0" y="0"/>
                      <a:ext cx="2787015" cy="278130"/>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i/>
          <w:iCs/>
        </w:rPr>
        <w:t>СЗП</w:t>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(для муниципальных маршрутов в границах поселения,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административно-территориальных единиц субъекта Российской Федерации, для муниципальных маршрутов в границах субъектов Российской Федерации - городов федерального значения Москвы, Санкт-Петербурга или Севастополя в соответствии с данными Росстата в отношении указанных субъектов Российской Федерации, для межмуниципальных маршрутов в границах субъекта Российской Федерации - в соответствии с данными Росстата в отношении этого субъекта Российской Федерации, для смежных межрегиональных маршрутов в сообщении с субъектами Российской Федерации - городами федерального значения Москвой, Санкт-Петербургом или Севастополем - в соответствии с данными Росстата в отношении этих субъектов Российской Федерации), руб.;</w:t>
      </w:r>
    </w:p>
    <w:p>
      <w:pPr>
        <w:pStyle w:val="ConsPlusNormal"/>
        <w:spacing w:before="0" w:after="0"/>
        <w:ind w:left="0" w:right="0" w:firstLine="709"/>
        <w:jc w:val="both"/>
        <w:rPr/>
      </w:pPr>
      <w:r>
        <w:rPr>
          <w:i/>
          <w:iCs/>
        </w:rPr>
        <w:t>К</w:t>
      </w:r>
      <w:r>
        <w:rPr>
          <w:i/>
          <w:iCs/>
          <w:vertAlign w:val="subscript"/>
        </w:rPr>
        <w:t>ЗП</w:t>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коэффициент, учитывающий дифференциацию в оплате труда ремонтных рабочих в зависимости от вида маршрутов (принимается в соответствии</w:t>
        <w:br/>
        <w:t xml:space="preserve">с </w:t>
      </w:r>
      <w:hyperlink w:anchor="Par549" w:tgtFrame="Коэффициенты, учитывающие дифференциацию заработных плат">
        <w:r>
          <w:rPr>
            <w:sz w:val="28"/>
            <w:szCs w:val="28"/>
          </w:rPr>
          <w:t>таблицей 1</w:t>
        </w:r>
      </w:hyperlink>
      <w:r>
        <w:rPr>
          <w:sz w:val="28"/>
          <w:szCs w:val="28"/>
        </w:rPr>
        <w:t>);</w:t>
      </w:r>
    </w:p>
    <w:p>
      <w:pPr>
        <w:pStyle w:val="ConsPlusNormal"/>
        <w:spacing w:before="0" w:after="0"/>
        <w:ind w:left="0" w:right="0" w:firstLine="709"/>
        <w:jc w:val="both"/>
        <w:rPr/>
      </w:pPr>
      <w:r>
        <w:rPr>
          <w:i/>
          <w:iCs/>
        </w:rPr>
        <w:t>К</w:t>
      </w:r>
      <w:r>
        <w:rPr>
          <w:i/>
          <w:iCs/>
          <w:vertAlign w:val="subscript"/>
        </w:rPr>
        <w:t>М</w:t>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коэффициент, учитывающий особенности рынка труда в городах с численностью населения свыше миллиона человек (для г. Москвы принимается равным не менее 0,45, для г. Санкт-Петербурга - не менее 0,7, для других городов с численностью населения свыше миллиона человек - не менее 0,8, для прочих муниципальных образований - 1,0).</w:t>
      </w:r>
    </w:p>
    <w:p>
      <w:pPr>
        <w:pStyle w:val="ConsPlusNormal"/>
        <w:spacing w:before="0" w:after="0"/>
        <w:ind w:left="0" w:right="0" w:firstLine="709"/>
        <w:jc w:val="both"/>
        <w:rPr/>
      </w:pPr>
      <w:bookmarkStart w:id="35" w:name="Par689"/>
      <w:bookmarkEnd w:id="35"/>
      <w:r>
        <w:rPr>
          <w:sz w:val="28"/>
          <w:szCs w:val="28"/>
        </w:rPr>
        <w:t>11. Расходы на запасные части и материалы, используемые при техническом обслуживании и ремонте транспортных средств i-го класса в t-ый год срока действия контракта в расчете на 1 км пробега (</w:t>
      </w:r>
      <w:r>
        <w:rPr>
          <w:i/>
          <w:iCs/>
          <w:sz w:val="28"/>
          <w:szCs w:val="28"/>
        </w:rPr>
        <w:t>Р</w:t>
      </w:r>
      <w:r>
        <w:rPr>
          <w:i/>
          <w:iCs/>
          <w:sz w:val="28"/>
          <w:szCs w:val="28"/>
          <w:vertAlign w:val="subscript"/>
        </w:rPr>
        <w:t>ЗЧti</w:t>
      </w:r>
      <w:r>
        <w:rPr>
          <w:sz w:val="28"/>
          <w:szCs w:val="28"/>
        </w:rPr>
        <w:t>) определяются по формуле (11).</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r>
      <m:oMath xmlns:m="http://schemas.openxmlformats.org/officeDocument/2006/math">
        <m:sSub>
          <m:e>
            <m:r>
              <w:rPr>
                <w:rFonts w:ascii="Cambria Math" w:hAnsi="Cambria Math"/>
              </w:rPr>
              <m:t xml:space="preserve">Р</m:t>
            </m:r>
          </m:e>
          <m:sub>
            <m:r>
              <w:rPr>
                <w:rFonts w:ascii="Cambria Math" w:hAnsi="Cambria Math"/>
              </w:rPr>
              <m:t xml:space="preserve">ЗЧ</m:t>
            </m:r>
            <m:r>
              <w:rPr>
                <w:rFonts w:ascii="Cambria Math" w:hAnsi="Cambria Math"/>
              </w:rPr>
              <m:t xml:space="preserve">ti</m:t>
            </m:r>
          </m:sub>
        </m:sSub>
        <m:r>
          <w:rPr>
            <w:rFonts w:ascii="Cambria Math" w:hAnsi="Cambria Math"/>
          </w:rPr>
          <m:t xml:space="preserve">=</m:t>
        </m:r>
        <m:sSub>
          <m:e>
            <m:r>
              <w:rPr>
                <w:rFonts w:ascii="Cambria Math" w:hAnsi="Cambria Math"/>
              </w:rPr>
              <m:t xml:space="preserve">У</m:t>
            </m:r>
          </m:e>
          <m:sub>
            <m:r>
              <w:rPr>
                <w:rFonts w:ascii="Cambria Math" w:hAnsi="Cambria Math"/>
              </w:rPr>
              <m:t xml:space="preserve">ЗЧ</m:t>
            </m:r>
            <m:r>
              <w:rPr>
                <w:rFonts w:ascii="Cambria Math" w:hAnsi="Cambria Math"/>
              </w:rPr>
              <m:t xml:space="preserve">i</m:t>
            </m:r>
          </m:sub>
        </m:sSub>
        <m:r>
          <w:rPr>
            <w:rFonts w:ascii="Cambria Math" w:hAnsi="Cambria Math"/>
          </w:rPr>
          <m:t xml:space="preserve">×</m:t>
        </m:r>
        <m:sSub>
          <m:e>
            <m:r>
              <w:rPr>
                <w:rFonts w:ascii="Cambria Math" w:hAnsi="Cambria Math"/>
              </w:rPr>
              <m:t xml:space="preserve">К</m:t>
            </m:r>
          </m:e>
          <m:sub>
            <m:r>
              <w:rPr>
                <w:rFonts w:ascii="Cambria Math" w:hAnsi="Cambria Math"/>
              </w:rPr>
              <m:t xml:space="preserve">ЗЧ</m:t>
            </m:r>
          </m:sub>
        </m:sSub>
        <m:r>
          <w:rPr>
            <w:rFonts w:ascii="Cambria Math" w:hAnsi="Cambria Math"/>
          </w:rPr>
          <m:t xml:space="preserve">×</m:t>
        </m:r>
        <m:sSub>
          <m:e>
            <m:r>
              <w:rPr>
                <w:rFonts w:ascii="Cambria Math" w:hAnsi="Cambria Math"/>
              </w:rPr>
              <m:t xml:space="preserve">I</m:t>
            </m:r>
          </m:e>
          <m:sub>
            <m:r>
              <w:rPr>
                <w:rFonts w:ascii="Cambria Math" w:hAnsi="Cambria Math"/>
              </w:rPr>
              <m:t xml:space="preserve">MT</m:t>
            </m:r>
          </m:sub>
        </m:sSub>
      </m:oMath>
      <w:r>
        <w:rPr>
          <w:sz w:val="28"/>
          <w:szCs w:val="28"/>
        </w:rPr>
        <w:t>, руб./км (11)</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314325" cy="278130"/>
            <wp:effectExtent l="0" t="0" r="0" b="0"/>
            <wp:docPr id="171" name="Рисунок 2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Рисунок 205" descr=""/>
                    <pic:cNvPicPr>
                      <a:picLocks noChangeAspect="1" noChangeArrowheads="1"/>
                    </pic:cNvPicPr>
                  </pic:nvPicPr>
                  <pic:blipFill>
                    <a:blip r:embed="rId190"/>
                    <a:stretch>
                      <a:fillRect/>
                    </a:stretch>
                  </pic:blipFill>
                  <pic:spPr bwMode="auto">
                    <a:xfrm>
                      <a:off x="0" y="0"/>
                      <a:ext cx="31432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базовые удельные расходы на запасные части и материалы для транспортных средств i-го класса в расчете на 1 км пробега, включая НДС, руб./км (для трамваев большого класса принимаются равными не менее 17,0, для трамваев особо большого класса - не менее22,0, для трамвайных поездов – как сумма расходов на каждый из вагонов в составе поезда, увеличенная на 2% для каждого из вагонов, кроме первого);</w:t>
      </w:r>
    </w:p>
    <w:p>
      <w:pPr>
        <w:pStyle w:val="ConsPlusNormal"/>
        <w:spacing w:before="0" w:after="0"/>
        <w:ind w:left="0" w:right="0" w:firstLine="709"/>
        <w:jc w:val="both"/>
        <w:rPr/>
      </w:pPr>
      <w:r>
        <w:rPr/>
        <w:drawing>
          <wp:inline distT="0" distB="0" distL="0" distR="0">
            <wp:extent cx="285115" cy="278130"/>
            <wp:effectExtent l="0" t="0" r="0" b="0"/>
            <wp:docPr id="172" name="Рисунок 2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Рисунок 206" descr=""/>
                    <pic:cNvPicPr>
                      <a:picLocks noChangeAspect="1" noChangeArrowheads="1"/>
                    </pic:cNvPicPr>
                  </pic:nvPicPr>
                  <pic:blipFill>
                    <a:blip r:embed="rId191"/>
                    <a:stretch>
                      <a:fillRect/>
                    </a:stretch>
                  </pic:blipFill>
                  <pic:spPr bwMode="auto">
                    <a:xfrm>
                      <a:off x="0" y="0"/>
                      <a:ext cx="28511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коэффициент корректировки базовых удельных расходов на запасные части и материалы в зависимости от природно-климатических условий (принимается в соответствии с </w:t>
      </w:r>
      <w:hyperlink w:anchor="Par650" w:tgtFrame="Коэффициенты корректировки">
        <w:r>
          <w:rPr>
            <w:sz w:val="28"/>
            <w:szCs w:val="28"/>
          </w:rPr>
          <w:t>таблицей 2</w:t>
        </w:r>
      </w:hyperlink>
      <w:r>
        <w:rPr>
          <w:sz w:val="28"/>
          <w:szCs w:val="28"/>
        </w:rPr>
        <w:t>);</w:t>
      </w:r>
    </w:p>
    <w:p>
      <w:pPr>
        <w:pStyle w:val="ConsPlusNormal"/>
        <w:spacing w:before="0" w:after="0"/>
        <w:ind w:left="0" w:right="0" w:firstLine="709"/>
        <w:jc w:val="both"/>
        <w:rPr/>
      </w:pPr>
      <w:r>
        <w:rPr/>
        <w:drawing>
          <wp:inline distT="0" distB="0" distL="0" distR="0">
            <wp:extent cx="241300" cy="278130"/>
            <wp:effectExtent l="0" t="0" r="0" b="0"/>
            <wp:docPr id="173" name="Рисунок 20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Рисунок 208" descr=""/>
                    <pic:cNvPicPr>
                      <a:picLocks noChangeAspect="1" noChangeArrowheads="1"/>
                    </pic:cNvPicPr>
                  </pic:nvPicPr>
                  <pic:blipFill>
                    <a:blip r:embed="rId109"/>
                    <a:stretch>
                      <a:fillRect/>
                    </a:stretch>
                  </pic:blipFill>
                  <pic:spPr bwMode="auto">
                    <a:xfrm>
                      <a:off x="0" y="0"/>
                      <a:ext cx="24130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индекс цен на машины и оборудование для t-ого года срока действия контракта (принимается равным произведению определяемых Росстатом индексов цен производителей машин и оборудования за период с декабря 2020 года по период, ближайший к началу срока действия контракта, и прогнозного индекса цен производителей на продукцию машиностроения для каждого года срока действия контракта, определяемого Минэкономразвития России в прогнозе социально-экономического развития Российской Федерации (если срок действия контракта превышает срок прогноза, индекс цен производителей на продукцию машиностроения для каждого года срока действия контракта, не указанного в прогнозе, принимается равным индексу цен производителей на продукцию машиностроения, указанному для последнего года прогноза)).</w:t>
      </w:r>
    </w:p>
    <w:p>
      <w:pPr>
        <w:pStyle w:val="ConsPlusNormal"/>
        <w:spacing w:before="0" w:after="0"/>
        <w:ind w:left="0" w:right="0" w:firstLine="709"/>
        <w:jc w:val="both"/>
        <w:rPr/>
      </w:pPr>
      <w:r>
        <w:rPr>
          <w:sz w:val="28"/>
          <w:szCs w:val="28"/>
        </w:rPr>
        <w:t>12. Расходы на капитальный ремонт трамвая i-го класса в t-ый год срока действия контракта в расчете на 1 км пробега (КР</w:t>
      </w:r>
      <w:r>
        <w:rPr>
          <w:sz w:val="28"/>
          <w:szCs w:val="28"/>
          <w:vertAlign w:val="subscript"/>
          <w:lang w:val="en-US"/>
        </w:rPr>
        <w:t>i</w:t>
      </w:r>
      <w:r>
        <w:rPr>
          <w:sz w:val="28"/>
          <w:szCs w:val="28"/>
        </w:rPr>
        <w:t>) определяются по формуле (12).</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r>
      <m:oMath xmlns:m="http://schemas.openxmlformats.org/officeDocument/2006/math">
        <m:sSub>
          <m:e>
            <m:r>
              <w:rPr>
                <w:rFonts w:ascii="Cambria Math" w:hAnsi="Cambria Math"/>
              </w:rPr>
              <m:t xml:space="preserve">КР</m:t>
            </m:r>
          </m:e>
          <m:sub>
            <m:r>
              <w:rPr>
                <w:rFonts w:ascii="Cambria Math" w:hAnsi="Cambria Math"/>
              </w:rPr>
              <m:t xml:space="preserve">i</m:t>
            </m:r>
          </m:sub>
        </m:sSub>
        <m:r>
          <w:rPr>
            <w:rFonts w:ascii="Cambria Math" w:hAnsi="Cambria Math"/>
          </w:rPr>
          <m:t xml:space="preserve">=</m:t>
        </m:r>
        <m:f>
          <m:num>
            <m:sSub>
              <m:e>
                <m:r>
                  <w:rPr>
                    <w:rFonts w:ascii="Cambria Math" w:hAnsi="Cambria Math"/>
                  </w:rPr>
                  <m:t xml:space="preserve">Ц</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I</m:t>
                </m:r>
              </m:e>
              <m:sub>
                <m:r>
                  <w:rPr>
                    <w:rFonts w:ascii="Cambria Math" w:hAnsi="Cambria Math"/>
                  </w:rPr>
                  <m:t xml:space="preserve">MО</m:t>
                </m:r>
                <m:r>
                  <w:rPr>
                    <w:rFonts w:ascii="Cambria Math" w:hAnsi="Cambria Math"/>
                  </w:rPr>
                  <m:t xml:space="preserve">t</m:t>
                </m:r>
              </m:sub>
            </m:sSub>
            <m:r>
              <w:rPr>
                <w:rFonts w:ascii="Cambria Math" w:hAnsi="Cambria Math"/>
              </w:rPr>
              <m:t xml:space="preserve">×</m:t>
            </m:r>
            <m:r>
              <w:rPr>
                <w:rFonts w:ascii="Cambria Math" w:hAnsi="Cambria Math"/>
              </w:rPr>
              <m:t xml:space="preserve">38</m:t>
            </m:r>
            <m:r>
              <m:rPr>
                <m:lit/>
                <m:nor/>
              </m:rPr>
              <w:rPr>
                <w:rFonts w:ascii="Cambria Math" w:hAnsi="Cambria Math"/>
              </w:rPr>
              <m:t xml:space="preserve">%</m:t>
            </m:r>
          </m:num>
          <m:den>
            <m:r>
              <w:rPr>
                <w:rFonts w:ascii="Cambria Math" w:hAnsi="Cambria Math"/>
              </w:rPr>
              <m:t xml:space="preserve">1</m:t>
            </m:r>
            <m:r>
              <w:rPr>
                <w:rFonts w:ascii="Cambria Math" w:hAnsi="Cambria Math"/>
              </w:rPr>
              <m:t xml:space="preserve">000</m:t>
            </m:r>
            <m:r>
              <w:rPr>
                <w:rFonts w:ascii="Cambria Math" w:hAnsi="Cambria Math"/>
              </w:rPr>
              <m:t xml:space="preserve">000</m:t>
            </m:r>
          </m:den>
        </m:f>
      </m:oMath>
      <w:r>
        <w:rPr>
          <w:sz w:val="28"/>
          <w:szCs w:val="28"/>
        </w:rPr>
        <w:t>, руб./км (12)</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248920" cy="278130"/>
            <wp:effectExtent l="0" t="0" r="0" b="0"/>
            <wp:docPr id="174" name="Рисунок 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Рисунок 80" descr=""/>
                    <pic:cNvPicPr>
                      <a:picLocks noChangeAspect="1" noChangeArrowheads="1"/>
                    </pic:cNvPicPr>
                  </pic:nvPicPr>
                  <pic:blipFill>
                    <a:blip r:embed="rId41"/>
                    <a:stretch>
                      <a:fillRect/>
                    </a:stretch>
                  </pic:blipFill>
                  <pic:spPr bwMode="auto">
                    <a:xfrm>
                      <a:off x="0" y="0"/>
                      <a:ext cx="24892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определенная в соответствии с </w:t>
      </w:r>
      <w:hyperlink w:anchor="Par128" w:tgtFrame="8. Средняя рыночная стоимость новых транспортных средств i-го класса на дату начала проведения расчета НМЦК (_) определяется одним из следующих способов:">
        <w:r>
          <w:rPr>
            <w:sz w:val="28"/>
            <w:szCs w:val="28"/>
          </w:rPr>
          <w:t>пунктом 8</w:t>
        </w:r>
      </w:hyperlink>
      <w:r>
        <w:rPr>
          <w:sz w:val="28"/>
          <w:szCs w:val="28"/>
        </w:rPr>
        <w:t xml:space="preserve"> настоящего Порядка средняя рыночная стоимость новых транспортных средств i-го класса на дату начала проведения расчета НМЦК, руб.;</w:t>
      </w:r>
    </w:p>
    <w:p>
      <w:pPr>
        <w:pStyle w:val="ConsPlusNormal"/>
        <w:spacing w:before="0" w:after="0"/>
        <w:ind w:left="0" w:right="0" w:firstLine="709"/>
        <w:jc w:val="both"/>
        <w:rPr/>
      </w:pPr>
      <w:r>
        <w:rPr/>
        <w:drawing>
          <wp:inline distT="0" distB="0" distL="0" distR="0">
            <wp:extent cx="307340" cy="278130"/>
            <wp:effectExtent l="0" t="0" r="0" b="0"/>
            <wp:docPr id="175" name="Рисунок 1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Рисунок 160" descr=""/>
                    <pic:cNvPicPr>
                      <a:picLocks noChangeAspect="1" noChangeArrowheads="1"/>
                    </pic:cNvPicPr>
                  </pic:nvPicPr>
                  <pic:blipFill>
                    <a:blip r:embed="rId42"/>
                    <a:stretch>
                      <a:fillRect/>
                    </a:stretch>
                  </pic:blipFill>
                  <pic:spPr bwMode="auto">
                    <a:xfrm>
                      <a:off x="0" y="0"/>
                      <a:ext cx="30734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индекс цен на машины и оборудование для t-ого года срока действия контракта (принимается равным прогнозному индексу цен производителей на продукцию машиностроения для каждого года срока действия контракта, определяемому Минэкономразвития России в прогнозе социально-экономического развития Российской Федерации (если срок действия контракта превышает срок прогноза, индекс цен производителей на продукцию машиностроения для каждого года срока действия контракта, не указанного в прогнозе, принимается равным индексу цен производителей на продукцию машиностроения, указанному для последнего года прогноза));</w:t>
      </w:r>
    </w:p>
    <w:p>
      <w:pPr>
        <w:pStyle w:val="ConsPlusNormal"/>
        <w:spacing w:before="0" w:after="0"/>
        <w:ind w:left="0" w:right="0" w:firstLine="709"/>
        <w:jc w:val="both"/>
        <w:rPr/>
      </w:pPr>
      <w:r>
        <w:rPr>
          <w:sz w:val="28"/>
          <w:szCs w:val="28"/>
        </w:rPr>
        <w:t xml:space="preserve">38 % </w:t>
      </w:r>
      <w:r>
        <w:rPr>
          <w:rFonts w:eastAsia="" w:cs="Times New Roman" w:eastAsiaTheme="minorEastAsia"/>
          <w:color w:val="auto"/>
          <w:kern w:val="0"/>
          <w:sz w:val="28"/>
          <w:szCs w:val="28"/>
          <w:lang w:val="ru-RU" w:eastAsia="ru-RU" w:bidi="ar-SA"/>
        </w:rPr>
        <w:t>−</w:t>
      </w:r>
      <w:r>
        <w:rPr>
          <w:sz w:val="28"/>
          <w:szCs w:val="28"/>
        </w:rPr>
        <w:t xml:space="preserve"> норматив затрат на капитальный ремонт трамвайного вагона от стоимости нового вагона, %;</w:t>
      </w:r>
    </w:p>
    <w:p>
      <w:pPr>
        <w:pStyle w:val="ConsPlusNormal"/>
        <w:spacing w:before="0" w:after="0"/>
        <w:ind w:left="0" w:right="0" w:firstLine="709"/>
        <w:jc w:val="both"/>
        <w:rPr/>
      </w:pPr>
      <w:r>
        <w:rPr>
          <w:sz w:val="28"/>
          <w:szCs w:val="28"/>
        </w:rPr>
        <w:t>1 000 000 – норматив пробега трамвайного вагона до капитального ремонта, км.</w:t>
      </w:r>
    </w:p>
    <w:p>
      <w:pPr>
        <w:pStyle w:val="ConsPlusNormal"/>
        <w:spacing w:before="0" w:after="0"/>
        <w:ind w:left="0" w:right="0" w:firstLine="709"/>
        <w:jc w:val="both"/>
        <w:rPr/>
      </w:pPr>
      <w:bookmarkStart w:id="36" w:name="Par699"/>
      <w:bookmarkEnd w:id="36"/>
      <w:r>
        <w:rPr>
          <w:sz w:val="28"/>
          <w:szCs w:val="28"/>
        </w:rPr>
        <w:t>13. Расходы на содержание контактно-кабельной сети в t-ом году срока действия контракта в расчете на 1 км пробега (</w:t>
      </w:r>
      <w:r>
        <w:rPr>
          <w:i/>
          <w:iCs/>
          <w:sz w:val="28"/>
          <w:szCs w:val="28"/>
        </w:rPr>
        <w:t>Р</w:t>
      </w:r>
      <w:r>
        <w:rPr>
          <w:i/>
          <w:iCs/>
          <w:sz w:val="28"/>
          <w:szCs w:val="28"/>
          <w:vertAlign w:val="subscript"/>
        </w:rPr>
        <w:t>ККt</w:t>
      </w:r>
      <w:r>
        <w:rPr>
          <w:sz w:val="28"/>
          <w:szCs w:val="28"/>
        </w:rPr>
        <w:t>) определяются по формуле (13).</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r>
      <m:oMath xmlns:m="http://schemas.openxmlformats.org/officeDocument/2006/math">
        <m:sSub>
          <m:e>
            <m:r>
              <w:rPr>
                <w:rFonts w:ascii="Cambria Math" w:hAnsi="Cambria Math"/>
              </w:rPr>
              <m:t xml:space="preserve">Р</m:t>
            </m:r>
          </m:e>
          <m:sub>
            <m:r>
              <w:rPr>
                <w:rFonts w:ascii="Cambria Math" w:hAnsi="Cambria Math"/>
              </w:rPr>
              <m:t xml:space="preserve">КК</m:t>
            </m:r>
            <m:r>
              <w:rPr>
                <w:rFonts w:ascii="Cambria Math" w:hAnsi="Cambria Math"/>
              </w:rPr>
              <m:t xml:space="preserve">t</m:t>
            </m:r>
          </m:sub>
        </m:sSub>
        <m:r>
          <w:rPr>
            <w:rFonts w:ascii="Cambria Math" w:hAnsi="Cambria Math"/>
          </w:rPr>
          <m:t xml:space="preserve">=</m:t>
        </m:r>
        <m:f>
          <m:fPr>
            <m:type m:val="lin"/>
          </m:fPr>
          <m:num>
            <m:r>
              <w:rPr>
                <w:rFonts w:ascii="Cambria Math" w:hAnsi="Cambria Math"/>
              </w:rPr>
              <m:t xml:space="preserve">149</m:t>
            </m:r>
            <m:r>
              <w:rPr>
                <w:rFonts w:ascii="Cambria Math" w:hAnsi="Cambria Math"/>
              </w:rPr>
              <m:t xml:space="preserve">550</m:t>
            </m:r>
            <m:r>
              <w:rPr>
                <w:rFonts w:ascii="Cambria Math" w:hAnsi="Cambria Math"/>
              </w:rPr>
              <m:t xml:space="preserve">×</m:t>
            </m:r>
            <m:sSub>
              <m:e>
                <m:r>
                  <w:rPr>
                    <w:rFonts w:ascii="Cambria Math" w:hAnsi="Cambria Math"/>
                  </w:rPr>
                  <m:t xml:space="preserve">l</m:t>
                </m:r>
              </m:e>
              <m:sub>
                <m:r>
                  <w:rPr>
                    <w:rFonts w:ascii="Cambria Math" w:hAnsi="Cambria Math"/>
                  </w:rPr>
                  <m:t xml:space="preserve">KK</m:t>
                </m:r>
              </m:sub>
            </m:sSub>
            <m:r>
              <w:rPr>
                <w:rFonts w:ascii="Cambria Math" w:hAnsi="Cambria Math"/>
              </w:rPr>
              <m:t xml:space="preserve">×</m:t>
            </m:r>
            <m:sSub>
              <m:e>
                <m:r>
                  <w:rPr>
                    <w:rFonts w:ascii="Cambria Math" w:hAnsi="Cambria Math"/>
                  </w:rPr>
                  <m:t xml:space="preserve">К</m:t>
                </m:r>
              </m:e>
              <m:sub>
                <m:r>
                  <w:rPr>
                    <w:rFonts w:ascii="Cambria Math" w:hAnsi="Cambria Math"/>
                  </w:rPr>
                  <m:t xml:space="preserve">уэ</m:t>
                </m:r>
              </m:sub>
            </m:sSub>
            <m:r>
              <w:rPr>
                <w:rFonts w:ascii="Cambria Math" w:hAnsi="Cambria Math"/>
              </w:rPr>
              <m:t xml:space="preserve">×</m:t>
            </m:r>
            <m:sSub>
              <m:e>
                <m:r>
                  <w:rPr>
                    <w:rFonts w:ascii="Cambria Math" w:hAnsi="Cambria Math"/>
                  </w:rPr>
                  <m:t xml:space="preserve">К</m:t>
                </m:r>
              </m:e>
              <m:sub>
                <m:r>
                  <w:rPr>
                    <w:rFonts w:ascii="Cambria Math" w:hAnsi="Cambria Math"/>
                  </w:rPr>
                  <m:t xml:space="preserve">пку</m:t>
                </m:r>
              </m:sub>
            </m:sSub>
            <m:r>
              <w:rPr>
                <w:rFonts w:ascii="Cambria Math" w:hAnsi="Cambria Math"/>
              </w:rPr>
              <m:t xml:space="preserve">×</m:t>
            </m:r>
            <m:sSub>
              <m:e>
                <m:r>
                  <w:rPr>
                    <w:rFonts w:ascii="Cambria Math" w:hAnsi="Cambria Math"/>
                  </w:rPr>
                  <m:t xml:space="preserve">I</m:t>
                </m:r>
              </m:e>
              <m:sub>
                <m:r>
                  <w:rPr>
                    <w:rFonts w:ascii="Cambria Math" w:hAnsi="Cambria Math"/>
                  </w:rPr>
                  <m:t xml:space="preserve">мт</m:t>
                </m:r>
              </m:sub>
            </m:sSub>
          </m:num>
          <m:den>
            <m:sSub>
              <m:e>
                <m:r>
                  <w:rPr>
                    <w:rFonts w:ascii="Cambria Math" w:hAnsi="Cambria Math"/>
                  </w:rPr>
                  <m:t xml:space="preserve">L</m:t>
                </m:r>
              </m:e>
              <m:sub>
                <m:r>
                  <w:rPr>
                    <w:rFonts w:ascii="Cambria Math" w:hAnsi="Cambria Math"/>
                  </w:rPr>
                  <m:t xml:space="preserve">СУММ</m:t>
                </m:r>
              </m:sub>
            </m:sSub>
          </m:den>
        </m:f>
      </m:oMath>
      <w:r>
        <w:rPr>
          <w:sz w:val="28"/>
          <w:szCs w:val="28"/>
        </w:rPr>
        <w:t>, руб./км (13)</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sz w:val="28"/>
          <w:szCs w:val="28"/>
        </w:rPr>
        <w:t xml:space="preserve">149 550 </w:t>
      </w:r>
      <w:r>
        <w:rPr>
          <w:rFonts w:eastAsia="" w:cs="Times New Roman" w:eastAsiaTheme="minorEastAsia"/>
          <w:color w:val="auto"/>
          <w:kern w:val="0"/>
          <w:sz w:val="28"/>
          <w:szCs w:val="28"/>
          <w:lang w:val="ru-RU" w:eastAsia="ru-RU" w:bidi="ar-SA"/>
        </w:rPr>
        <w:t>−</w:t>
      </w:r>
      <w:r>
        <w:rPr>
          <w:sz w:val="28"/>
          <w:szCs w:val="28"/>
        </w:rPr>
        <w:t xml:space="preserve"> базовые удельные расходы на содержание контактно-кабельной сети, в однопутном исчислении, руб./км;</w:t>
      </w:r>
    </w:p>
    <w:p>
      <w:pPr>
        <w:pStyle w:val="ConsPlusNormal"/>
        <w:spacing w:before="0" w:after="0"/>
        <w:ind w:left="0" w:right="0" w:firstLine="709"/>
        <w:jc w:val="both"/>
        <w:rPr/>
      </w:pPr>
      <w:r>
        <w:rPr/>
        <w:drawing>
          <wp:inline distT="0" distB="0" distL="0" distR="0">
            <wp:extent cx="219710" cy="278130"/>
            <wp:effectExtent l="0" t="0" r="0" b="0"/>
            <wp:docPr id="176" name="Рисунок 2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Рисунок 211" descr=""/>
                    <pic:cNvPicPr>
                      <a:picLocks noChangeAspect="1" noChangeArrowheads="1"/>
                    </pic:cNvPicPr>
                  </pic:nvPicPr>
                  <pic:blipFill>
                    <a:blip r:embed="rId192"/>
                    <a:stretch>
                      <a:fillRect/>
                    </a:stretch>
                  </pic:blipFill>
                  <pic:spPr bwMode="auto">
                    <a:xfrm>
                      <a:off x="0" y="0"/>
                      <a:ext cx="21971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общая протяженность контактно-кабельной сети в однопутном исчислении, по предусмотренным контрактом маршрутам, км;</w:t>
      </w:r>
    </w:p>
    <w:p>
      <w:pPr>
        <w:pStyle w:val="ConsPlusNormal"/>
        <w:spacing w:before="0" w:after="0"/>
        <w:ind w:left="0" w:right="0" w:firstLine="709"/>
        <w:jc w:val="both"/>
        <w:rPr/>
      </w:pPr>
      <w:r>
        <w:rPr/>
        <w:drawing>
          <wp:inline distT="0" distB="0" distL="0" distR="0">
            <wp:extent cx="314325" cy="285115"/>
            <wp:effectExtent l="0" t="0" r="0" b="0"/>
            <wp:docPr id="177" name="Рисунок 2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Рисунок 212" descr=""/>
                    <pic:cNvPicPr>
                      <a:picLocks noChangeAspect="1" noChangeArrowheads="1"/>
                    </pic:cNvPicPr>
                  </pic:nvPicPr>
                  <pic:blipFill>
                    <a:blip r:embed="rId193"/>
                    <a:stretch>
                      <a:fillRect/>
                    </a:stretch>
                  </pic:blipFill>
                  <pic:spPr bwMode="auto">
                    <a:xfrm>
                      <a:off x="0" y="0"/>
                      <a:ext cx="314325"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коэффициент корректировки базовых удельных расходов на содержание контактно-кабельной сети в зависимости от условий эксплуатации контактно-кабельной сети (принимается в соответствии с </w:t>
      </w:r>
      <w:hyperlink w:anchor="Par714" w:tgtFrame="Коэффициент корректировки базовых удельных расходов">
        <w:r>
          <w:rPr>
            <w:sz w:val="28"/>
            <w:szCs w:val="28"/>
          </w:rPr>
          <w:t>таблицей 3</w:t>
        </w:r>
      </w:hyperlink>
      <w:r>
        <w:rPr>
          <w:sz w:val="28"/>
          <w:szCs w:val="28"/>
        </w:rPr>
        <w:t>);</w:t>
      </w:r>
    </w:p>
    <w:p>
      <w:pPr>
        <w:pStyle w:val="ConsPlusNormal"/>
        <w:spacing w:before="0" w:after="0"/>
        <w:ind w:left="0" w:right="0" w:firstLine="709"/>
        <w:jc w:val="both"/>
        <w:rPr/>
      </w:pPr>
      <w:r>
        <w:rPr/>
        <w:drawing>
          <wp:inline distT="0" distB="0" distL="0" distR="0">
            <wp:extent cx="358140" cy="285115"/>
            <wp:effectExtent l="0" t="0" r="0" b="0"/>
            <wp:docPr id="178" name="Рисунок 2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Рисунок 213" descr=""/>
                    <pic:cNvPicPr>
                      <a:picLocks noChangeAspect="1" noChangeArrowheads="1"/>
                    </pic:cNvPicPr>
                  </pic:nvPicPr>
                  <pic:blipFill>
                    <a:blip r:embed="rId194"/>
                    <a:stretch>
                      <a:fillRect/>
                    </a:stretch>
                  </pic:blipFill>
                  <pic:spPr bwMode="auto">
                    <a:xfrm>
                      <a:off x="0" y="0"/>
                      <a:ext cx="358140"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коэффициент корректирования базовых удельных расходов на содержание контактно-кабельной сети в зависимости от природно-климатических условий (принимается в соответствии с </w:t>
      </w:r>
      <w:hyperlink w:anchor="Par739" w:tgtFrame="Коэффициент корректирования базовых удельных">
        <w:r>
          <w:rPr>
            <w:sz w:val="28"/>
            <w:szCs w:val="28"/>
          </w:rPr>
          <w:t>таблицей 4</w:t>
        </w:r>
      </w:hyperlink>
      <w:r>
        <w:rPr>
          <w:sz w:val="28"/>
          <w:szCs w:val="28"/>
        </w:rPr>
        <w:t>);</w:t>
      </w:r>
    </w:p>
    <w:p>
      <w:pPr>
        <w:pStyle w:val="ConsPlusNormal"/>
        <w:spacing w:before="0" w:after="0"/>
        <w:ind w:left="0" w:right="0" w:firstLine="709"/>
        <w:jc w:val="both"/>
        <w:rPr/>
      </w:pPr>
      <w:r>
        <w:rPr/>
        <w:drawing>
          <wp:inline distT="0" distB="0" distL="0" distR="0">
            <wp:extent cx="241300" cy="278130"/>
            <wp:effectExtent l="0" t="0" r="0" b="0"/>
            <wp:docPr id="179" name="Рисунок 2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Рисунок 214" descr=""/>
                    <pic:cNvPicPr>
                      <a:picLocks noChangeAspect="1" noChangeArrowheads="1"/>
                    </pic:cNvPicPr>
                  </pic:nvPicPr>
                  <pic:blipFill>
                    <a:blip r:embed="rId109"/>
                    <a:stretch>
                      <a:fillRect/>
                    </a:stretch>
                  </pic:blipFill>
                  <pic:spPr bwMode="auto">
                    <a:xfrm>
                      <a:off x="0" y="0"/>
                      <a:ext cx="24130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индекс цен на машины и оборудование для t-ого года срока действия контракта (принимается равным произведению определяемых Росстатом индексов цен производителей машин и оборудования за период с декабря 2017 года по период, ближайший к началу срока действия контракта, и прогнозного индекса цен производителей на продукцию машиностроения для каждого года срока действия контракта, определяемого Минэкономразвития России в прогнозе социально-экономического развития Российской Федерации (если срок действия контракта превышает срок прогноза, индекс цен производителей на продукцию машиностроения для каждого года срока действия контракта, не указанного в прогнозе, принимается равным индексу цен производителей на продукцию машиностроения, указанному для последнего года прогноза));</w:t>
      </w:r>
    </w:p>
    <w:p>
      <w:pPr>
        <w:pStyle w:val="ConsPlusNormal"/>
        <w:spacing w:before="0" w:after="0"/>
        <w:ind w:left="0" w:right="0" w:firstLine="709"/>
        <w:jc w:val="both"/>
        <w:rPr/>
      </w:pPr>
      <w:r>
        <w:rPr/>
        <w:drawing>
          <wp:inline distT="0" distB="0" distL="0" distR="0">
            <wp:extent cx="424180" cy="285115"/>
            <wp:effectExtent l="0" t="0" r="0" b="0"/>
            <wp:docPr id="180" name="Рисунок 2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Рисунок 215" descr=""/>
                    <pic:cNvPicPr>
                      <a:picLocks noChangeAspect="1" noChangeArrowheads="1"/>
                    </pic:cNvPicPr>
                  </pic:nvPicPr>
                  <pic:blipFill>
                    <a:blip r:embed="rId195"/>
                    <a:stretch>
                      <a:fillRect/>
                    </a:stretch>
                  </pic:blipFill>
                  <pic:spPr bwMode="auto">
                    <a:xfrm>
                      <a:off x="0" y="0"/>
                      <a:ext cx="424180"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суммарный планируемый пробег трамвая всех классов по всем маршрутам, предусмотренным Документом планирования перевозок, в t-ом году срока действия контракта (может определяться в соответствии с длиной рейсов и частотой движения по периодам суток и дням недели, установленными Документом планирования регулярных перевозок для каждого из маршрутов, с учетом планируемых изменений трасс и параметров движения в период исполнения контракта), км.</w:t>
      </w:r>
    </w:p>
    <w:p>
      <w:pPr>
        <w:pStyle w:val="ConsPlusNormal"/>
        <w:spacing w:before="0" w:after="0"/>
        <w:ind w:left="0" w:right="0" w:firstLine="709"/>
        <w:jc w:val="both"/>
        <w:rPr>
          <w:sz w:val="28"/>
          <w:szCs w:val="28"/>
        </w:rPr>
      </w:pPr>
      <w:r>
        <w:rPr>
          <w:sz w:val="28"/>
          <w:szCs w:val="28"/>
        </w:rPr>
      </w:r>
    </w:p>
    <w:p>
      <w:pPr>
        <w:pStyle w:val="ConsPlusNormal"/>
        <w:numPr>
          <w:ilvl w:val="0"/>
          <w:numId w:val="0"/>
        </w:numPr>
        <w:spacing w:before="0" w:after="0"/>
        <w:ind w:left="0" w:right="0" w:firstLine="709"/>
        <w:jc w:val="right"/>
        <w:outlineLvl w:val="2"/>
        <w:rPr/>
      </w:pPr>
      <w:r>
        <w:rPr>
          <w:sz w:val="28"/>
          <w:szCs w:val="28"/>
        </w:rPr>
        <w:t>Таблица 3</w:t>
      </w:r>
    </w:p>
    <w:p>
      <w:pPr>
        <w:pStyle w:val="ConsPlusNormal"/>
        <w:spacing w:before="0" w:after="0"/>
        <w:ind w:left="0" w:right="0" w:firstLine="709"/>
        <w:jc w:val="both"/>
        <w:rPr>
          <w:sz w:val="28"/>
          <w:szCs w:val="28"/>
        </w:rPr>
      </w:pPr>
      <w:r>
        <w:rPr>
          <w:sz w:val="28"/>
          <w:szCs w:val="28"/>
        </w:rPr>
      </w:r>
    </w:p>
    <w:p>
      <w:pPr>
        <w:pStyle w:val="ConsPlusTitle"/>
        <w:widowControl w:val="false"/>
        <w:suppressAutoHyphens w:val="true"/>
        <w:bidi w:val="0"/>
        <w:spacing w:before="0" w:after="0"/>
        <w:ind w:left="0" w:right="0" w:hanging="0"/>
        <w:jc w:val="center"/>
        <w:rPr/>
      </w:pPr>
      <w:r>
        <w:rPr>
          <w:rFonts w:cs="Times New Roman" w:ascii="Times New Roman" w:hAnsi="Times New Roman"/>
          <w:sz w:val="28"/>
          <w:szCs w:val="28"/>
        </w:rPr>
        <w:t>Коэффициент корректировки базовых удельных</w:t>
      </w:r>
    </w:p>
    <w:p>
      <w:pPr>
        <w:pStyle w:val="ConsPlusTitle"/>
        <w:widowControl w:val="false"/>
        <w:suppressAutoHyphens w:val="true"/>
        <w:bidi w:val="0"/>
        <w:spacing w:before="0" w:after="0"/>
        <w:ind w:left="0" w:right="0" w:hanging="0"/>
        <w:jc w:val="center"/>
        <w:rPr/>
      </w:pPr>
      <w:r>
        <w:rPr>
          <w:rFonts w:cs="Times New Roman" w:ascii="Times New Roman" w:hAnsi="Times New Roman"/>
          <w:sz w:val="28"/>
          <w:szCs w:val="28"/>
        </w:rPr>
        <w:t>расходов на содержание контактно-кабельной сети</w:t>
      </w:r>
    </w:p>
    <w:p>
      <w:pPr>
        <w:pStyle w:val="ConsPlusTitle"/>
        <w:widowControl w:val="false"/>
        <w:suppressAutoHyphens w:val="true"/>
        <w:bidi w:val="0"/>
        <w:spacing w:before="0" w:after="0"/>
        <w:ind w:left="0" w:right="0" w:hanging="0"/>
        <w:jc w:val="center"/>
        <w:rPr/>
      </w:pPr>
      <w:r>
        <w:rPr>
          <w:rFonts w:cs="Times New Roman" w:ascii="Times New Roman" w:hAnsi="Times New Roman"/>
          <w:sz w:val="28"/>
          <w:szCs w:val="28"/>
        </w:rPr>
        <w:t>в зависимости от условий эксплуатации</w:t>
      </w:r>
    </w:p>
    <w:p>
      <w:pPr>
        <w:pStyle w:val="ConsPlusTitle"/>
        <w:widowControl w:val="false"/>
        <w:suppressAutoHyphens w:val="true"/>
        <w:bidi w:val="0"/>
        <w:spacing w:before="0" w:after="0"/>
        <w:ind w:left="0" w:right="0" w:hanging="0"/>
        <w:jc w:val="center"/>
        <w:rPr/>
      </w:pPr>
      <w:r>
        <w:rPr>
          <w:rFonts w:cs="Times New Roman" w:ascii="Times New Roman" w:hAnsi="Times New Roman"/>
          <w:sz w:val="28"/>
          <w:szCs w:val="28"/>
        </w:rPr>
        <w:t>контактно-кабельной сети (</w:t>
      </w:r>
      <w:r>
        <w:rPr>
          <w:rFonts w:cs="Times New Roman" w:ascii="Times New Roman" w:hAnsi="Times New Roman"/>
          <w:i/>
          <w:iCs/>
          <w:sz w:val="28"/>
          <w:szCs w:val="28"/>
        </w:rPr>
        <w:t>К</w:t>
      </w:r>
      <w:r>
        <w:rPr>
          <w:rFonts w:cs="Times New Roman" w:ascii="Times New Roman" w:hAnsi="Times New Roman"/>
          <w:i/>
          <w:iCs/>
          <w:sz w:val="28"/>
          <w:szCs w:val="28"/>
          <w:vertAlign w:val="subscript"/>
        </w:rPr>
        <w:t>уэ</w:t>
      </w:r>
      <w:r>
        <w:rPr>
          <w:rFonts w:cs="Times New Roman" w:ascii="Times New Roman" w:hAnsi="Times New Roman"/>
          <w:sz w:val="28"/>
          <w:szCs w:val="28"/>
        </w:rPr>
        <w:t>)</w:t>
      </w:r>
    </w:p>
    <w:p>
      <w:pPr>
        <w:pStyle w:val="ConsPlusNormal"/>
        <w:spacing w:before="0" w:after="0"/>
        <w:ind w:left="0" w:right="0" w:firstLine="709"/>
        <w:jc w:val="both"/>
        <w:rPr>
          <w:sz w:val="28"/>
          <w:szCs w:val="28"/>
        </w:rPr>
      </w:pPr>
      <w:r>
        <w:rPr>
          <w:sz w:val="28"/>
          <w:szCs w:val="28"/>
        </w:rPr>
      </w:r>
    </w:p>
    <w:tbl>
      <w:tblPr>
        <w:tblW w:w="9289" w:type="dxa"/>
        <w:jc w:val="left"/>
        <w:tblInd w:w="62" w:type="dxa"/>
        <w:tblLayout w:type="fixed"/>
        <w:tblCellMar>
          <w:top w:w="102" w:type="dxa"/>
          <w:left w:w="62" w:type="dxa"/>
          <w:bottom w:w="102" w:type="dxa"/>
          <w:right w:w="62" w:type="dxa"/>
        </w:tblCellMar>
        <w:tblLook w:val="0000" w:noVBand="0" w:noHBand="0" w:lastColumn="0" w:firstColumn="0" w:lastRow="0" w:firstRow="0"/>
      </w:tblPr>
      <w:tblGrid>
        <w:gridCol w:w="509"/>
        <w:gridCol w:w="7079"/>
        <w:gridCol w:w="1701"/>
      </w:tblGrid>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 xml:space="preserve">№ </w:t>
            </w:r>
            <w:r>
              <w:rPr>
                <w:sz w:val="28"/>
                <w:szCs w:val="28"/>
              </w:rPr>
              <w:t>п/п</w:t>
            </w:r>
          </w:p>
        </w:tc>
        <w:tc>
          <w:tcPr>
            <w:tcW w:w="707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Условия эксплуатации</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pPr>
            <w:r>
              <w:rPr/>
              <w:drawing>
                <wp:inline distT="0" distB="0" distL="0" distR="0">
                  <wp:extent cx="314325" cy="285115"/>
                  <wp:effectExtent l="0" t="0" r="0" b="0"/>
                  <wp:docPr id="181" name="Рисунок 3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Рисунок 382" descr=""/>
                          <pic:cNvPicPr>
                            <a:picLocks noChangeAspect="1" noChangeArrowheads="1"/>
                          </pic:cNvPicPr>
                        </pic:nvPicPr>
                        <pic:blipFill>
                          <a:blip r:embed="rId196"/>
                          <a:stretch>
                            <a:fillRect/>
                          </a:stretch>
                        </pic:blipFill>
                        <pic:spPr bwMode="auto">
                          <a:xfrm>
                            <a:off x="0" y="0"/>
                            <a:ext cx="314325" cy="285115"/>
                          </a:xfrm>
                          <a:prstGeom prst="rect">
                            <a:avLst/>
                          </a:prstGeom>
                        </pic:spPr>
                      </pic:pic>
                    </a:graphicData>
                  </a:graphic>
                </wp:inline>
              </w:drawing>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w:t>
            </w:r>
          </w:p>
        </w:tc>
        <w:tc>
          <w:tcPr>
            <w:tcW w:w="707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rPr>
                <w:sz w:val="28"/>
                <w:szCs w:val="28"/>
              </w:rPr>
            </w:pPr>
            <w:r>
              <w:rPr>
                <w:sz w:val="28"/>
                <w:szCs w:val="28"/>
              </w:rPr>
              <w:t>Отсутствие уклонов более 3 %, средний уклон менее 1 %</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1,0</w:t>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2</w:t>
            </w:r>
          </w:p>
        </w:tc>
        <w:tc>
          <w:tcPr>
            <w:tcW w:w="707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rPr>
                <w:sz w:val="28"/>
                <w:szCs w:val="28"/>
              </w:rPr>
            </w:pPr>
            <w:r>
              <w:rPr>
                <w:sz w:val="28"/>
                <w:szCs w:val="28"/>
              </w:rPr>
              <w:t>Наличие участков с тяжелыми условиями движения (уклонами более 3 %, средний уклон более 1 %)</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1,05</w:t>
            </w:r>
          </w:p>
        </w:tc>
      </w:tr>
    </w:tbl>
    <w:p>
      <w:pPr>
        <w:pStyle w:val="ConsPlusNormal"/>
        <w:spacing w:before="0" w:after="0"/>
        <w:ind w:left="0" w:right="0" w:firstLine="709"/>
        <w:jc w:val="both"/>
        <w:rPr>
          <w:sz w:val="28"/>
          <w:szCs w:val="28"/>
        </w:rPr>
      </w:pPr>
      <w:r>
        <w:rPr>
          <w:sz w:val="28"/>
          <w:szCs w:val="28"/>
        </w:rPr>
      </w:r>
    </w:p>
    <w:p>
      <w:pPr>
        <w:pStyle w:val="ConsPlusNormal"/>
        <w:numPr>
          <w:ilvl w:val="0"/>
          <w:numId w:val="0"/>
        </w:numPr>
        <w:spacing w:before="0" w:after="0"/>
        <w:ind w:left="0" w:right="0" w:firstLine="709"/>
        <w:jc w:val="right"/>
        <w:outlineLvl w:val="2"/>
        <w:rPr/>
      </w:pPr>
      <w:r>
        <w:rPr>
          <w:sz w:val="28"/>
          <w:szCs w:val="28"/>
        </w:rPr>
        <w:t>Таблица 4</w:t>
      </w:r>
    </w:p>
    <w:p>
      <w:pPr>
        <w:pStyle w:val="ConsPlusNormal"/>
        <w:widowControl w:val="false"/>
        <w:suppressAutoHyphens w:val="true"/>
        <w:bidi w:val="0"/>
        <w:spacing w:before="0" w:after="0"/>
        <w:ind w:left="0" w:right="0" w:hanging="0"/>
        <w:jc w:val="both"/>
        <w:rPr>
          <w:sz w:val="28"/>
          <w:szCs w:val="28"/>
        </w:rPr>
      </w:pPr>
      <w:r>
        <w:rPr>
          <w:sz w:val="28"/>
          <w:szCs w:val="28"/>
        </w:rPr>
      </w:r>
    </w:p>
    <w:p>
      <w:pPr>
        <w:pStyle w:val="ConsPlusTitle"/>
        <w:widowControl w:val="false"/>
        <w:suppressAutoHyphens w:val="true"/>
        <w:bidi w:val="0"/>
        <w:spacing w:before="0" w:after="0"/>
        <w:ind w:left="0" w:right="0" w:hanging="0"/>
        <w:jc w:val="center"/>
        <w:rPr/>
      </w:pPr>
      <w:bookmarkStart w:id="37" w:name="Par739"/>
      <w:bookmarkEnd w:id="37"/>
      <w:r>
        <w:rPr>
          <w:rFonts w:cs="Times New Roman" w:ascii="Times New Roman" w:hAnsi="Times New Roman"/>
          <w:sz w:val="28"/>
          <w:szCs w:val="28"/>
        </w:rPr>
        <w:t>Коэффициент корректирования базовых удельных</w:t>
      </w:r>
    </w:p>
    <w:p>
      <w:pPr>
        <w:pStyle w:val="ConsPlusTitle"/>
        <w:widowControl w:val="false"/>
        <w:suppressAutoHyphens w:val="true"/>
        <w:bidi w:val="0"/>
        <w:spacing w:before="0" w:after="0"/>
        <w:ind w:left="0" w:right="0" w:hanging="0"/>
        <w:jc w:val="center"/>
        <w:rPr/>
      </w:pPr>
      <w:r>
        <w:rPr>
          <w:rFonts w:cs="Times New Roman" w:ascii="Times New Roman" w:hAnsi="Times New Roman"/>
          <w:sz w:val="28"/>
          <w:szCs w:val="28"/>
        </w:rPr>
        <w:t>расходов на содержание контактно-кабельной сети</w:t>
      </w:r>
    </w:p>
    <w:p>
      <w:pPr>
        <w:pStyle w:val="ConsPlusTitle"/>
        <w:widowControl w:val="false"/>
        <w:suppressAutoHyphens w:val="true"/>
        <w:bidi w:val="0"/>
        <w:spacing w:before="0" w:after="0"/>
        <w:ind w:left="0" w:right="0" w:hanging="0"/>
        <w:jc w:val="center"/>
        <w:rPr/>
      </w:pPr>
      <w:r>
        <w:rPr>
          <w:rFonts w:cs="Times New Roman" w:ascii="Times New Roman" w:hAnsi="Times New Roman"/>
          <w:sz w:val="28"/>
          <w:szCs w:val="28"/>
        </w:rPr>
        <w:t>и на содержание и ремонт трамвайного пути в зависимости</w:t>
      </w:r>
    </w:p>
    <w:p>
      <w:pPr>
        <w:pStyle w:val="ConsPlusTitle"/>
        <w:widowControl w:val="false"/>
        <w:suppressAutoHyphens w:val="true"/>
        <w:bidi w:val="0"/>
        <w:spacing w:before="0" w:after="0"/>
        <w:ind w:left="0" w:right="0" w:hanging="0"/>
        <w:jc w:val="center"/>
        <w:rPr/>
      </w:pPr>
      <w:r>
        <w:rPr>
          <w:rFonts w:cs="Times New Roman" w:ascii="Times New Roman" w:hAnsi="Times New Roman"/>
          <w:sz w:val="28"/>
          <w:szCs w:val="28"/>
        </w:rPr>
        <w:t>от природно-климатических условий (</w:t>
      </w:r>
      <w:r>
        <w:rPr>
          <w:rFonts w:cs="Times New Roman" w:ascii="Times New Roman" w:hAnsi="Times New Roman"/>
          <w:i/>
          <w:iCs/>
          <w:sz w:val="28"/>
          <w:szCs w:val="28"/>
        </w:rPr>
        <w:t>К</w:t>
      </w:r>
      <w:r>
        <w:rPr>
          <w:rFonts w:cs="Times New Roman" w:ascii="Times New Roman" w:hAnsi="Times New Roman"/>
          <w:i/>
          <w:iCs/>
          <w:sz w:val="28"/>
          <w:szCs w:val="28"/>
          <w:vertAlign w:val="subscript"/>
        </w:rPr>
        <w:t>пку</w:t>
      </w:r>
      <w:r>
        <w:rPr>
          <w:rFonts w:cs="Times New Roman" w:ascii="Times New Roman" w:hAnsi="Times New Roman"/>
          <w:sz w:val="28"/>
          <w:szCs w:val="28"/>
        </w:rPr>
        <w:t>)</w:t>
      </w:r>
    </w:p>
    <w:p>
      <w:pPr>
        <w:pStyle w:val="ConsPlusNormal"/>
        <w:spacing w:before="0" w:after="0"/>
        <w:ind w:left="0" w:right="0" w:firstLine="709"/>
        <w:jc w:val="both"/>
        <w:rPr>
          <w:sz w:val="28"/>
          <w:szCs w:val="28"/>
        </w:rPr>
      </w:pPr>
      <w:r>
        <w:rPr>
          <w:sz w:val="28"/>
          <w:szCs w:val="28"/>
        </w:rPr>
      </w:r>
    </w:p>
    <w:tbl>
      <w:tblPr>
        <w:tblW w:w="9353" w:type="dxa"/>
        <w:jc w:val="left"/>
        <w:tblInd w:w="62" w:type="dxa"/>
        <w:tblLayout w:type="fixed"/>
        <w:tblCellMar>
          <w:top w:w="102" w:type="dxa"/>
          <w:left w:w="62" w:type="dxa"/>
          <w:bottom w:w="102" w:type="dxa"/>
          <w:right w:w="62" w:type="dxa"/>
        </w:tblCellMar>
        <w:tblLook w:val="0000" w:noVBand="0" w:noHBand="0" w:lastColumn="0" w:firstColumn="0" w:lastRow="0" w:firstRow="0"/>
      </w:tblPr>
      <w:tblGrid>
        <w:gridCol w:w="623"/>
        <w:gridCol w:w="7541"/>
        <w:gridCol w:w="1189"/>
      </w:tblGrid>
      <w:tr>
        <w:trPr/>
        <w:tc>
          <w:tcPr>
            <w:tcW w:w="623"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 xml:space="preserve">№ </w:t>
            </w:r>
            <w:r>
              <w:rPr>
                <w:sz w:val="28"/>
                <w:szCs w:val="28"/>
              </w:rPr>
              <w:t>п/п</w:t>
            </w:r>
          </w:p>
        </w:tc>
        <w:tc>
          <w:tcPr>
            <w:tcW w:w="7541"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Субъект Российской Федерации, особенности территории</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pPr>
            <w:r>
              <w:rPr>
                <w:rFonts w:cs="Times New Roman"/>
                <w:i/>
                <w:iCs/>
                <w:sz w:val="28"/>
                <w:szCs w:val="28"/>
              </w:rPr>
              <w:t>К</w:t>
            </w:r>
            <w:r>
              <w:rPr>
                <w:rFonts w:cs="Times New Roman"/>
                <w:i/>
                <w:iCs/>
                <w:sz w:val="28"/>
                <w:szCs w:val="28"/>
                <w:vertAlign w:val="subscript"/>
              </w:rPr>
              <w:t>пку</w:t>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w:t>
            </w:r>
          </w:p>
        </w:tc>
        <w:tc>
          <w:tcPr>
            <w:tcW w:w="7541"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rPr>
                <w:sz w:val="28"/>
                <w:szCs w:val="28"/>
              </w:rPr>
            </w:pPr>
            <w:r>
              <w:rPr>
                <w:sz w:val="28"/>
                <w:szCs w:val="28"/>
              </w:rPr>
              <w:t>Республика Алтай, Республика Башкортостан, Республика Бурятия, Республика Карелия, Республика Коми, Республика Тыва, Удмуртская Республика, Республика Хакасия; Алтайский, Забайкальский, Камчатский, Красноярский, Пермский, Приморский, Хабаровский края; Амурская, Архангельская, Иркутская, Кемеровская, Курганская, Мурманская, Новосибирская, Омская, Сахалинская, Свердловская, Томская, Тюменская, Челябинская области; Ненецкий автономный округ, Ханты-Мансийский автономный округ - Югра, Ямало-Ненецкий автономный округ</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1,05</w:t>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2</w:t>
            </w:r>
          </w:p>
        </w:tc>
        <w:tc>
          <w:tcPr>
            <w:tcW w:w="7541"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rPr>
                <w:sz w:val="28"/>
                <w:szCs w:val="28"/>
              </w:rPr>
            </w:pPr>
            <w:r>
              <w:rPr>
                <w:sz w:val="28"/>
                <w:szCs w:val="28"/>
              </w:rPr>
              <w:t>Прибрежные районы морей с шириной полосы до 5 км</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1,05</w:t>
            </w:r>
          </w:p>
        </w:tc>
      </w:tr>
      <w:tr>
        <w:trPr/>
        <w:tc>
          <w:tcPr>
            <w:tcW w:w="623"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3</w:t>
            </w:r>
          </w:p>
        </w:tc>
        <w:tc>
          <w:tcPr>
            <w:tcW w:w="7541"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rPr>
                <w:sz w:val="28"/>
                <w:szCs w:val="28"/>
              </w:rPr>
            </w:pPr>
            <w:r>
              <w:rPr>
                <w:sz w:val="28"/>
                <w:szCs w:val="28"/>
              </w:rPr>
              <w:t>Прочие субъекты Российской Федерации</w:t>
            </w:r>
          </w:p>
        </w:tc>
        <w:tc>
          <w:tcPr>
            <w:tcW w:w="118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1,0</w:t>
            </w:r>
          </w:p>
        </w:tc>
      </w:tr>
    </w:tbl>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bookmarkStart w:id="38" w:name="Par757"/>
      <w:bookmarkEnd w:id="38"/>
      <w:r>
        <w:rPr>
          <w:sz w:val="28"/>
          <w:szCs w:val="28"/>
        </w:rPr>
        <w:t>14. Расходы на содержание тяговых подстанций в t-ом году срока действия контракта в расчете на 1 км пробега (</w:t>
      </w:r>
      <w:r>
        <w:rPr>
          <w:i/>
          <w:iCs/>
          <w:sz w:val="28"/>
          <w:szCs w:val="28"/>
        </w:rPr>
        <w:t>Р</w:t>
      </w:r>
      <w:r>
        <w:rPr>
          <w:i/>
          <w:iCs/>
          <w:sz w:val="28"/>
          <w:szCs w:val="28"/>
          <w:vertAlign w:val="subscript"/>
        </w:rPr>
        <w:t>ТПt</w:t>
      </w:r>
      <w:r>
        <w:rPr>
          <w:sz w:val="28"/>
          <w:szCs w:val="28"/>
        </w:rPr>
        <w:t>) определяются по формуле (14).</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r>
      <m:oMath xmlns:m="http://schemas.openxmlformats.org/officeDocument/2006/math">
        <m:sSub>
          <m:e>
            <m:r>
              <w:rPr>
                <w:rFonts w:ascii="Cambria Math" w:hAnsi="Cambria Math"/>
              </w:rPr>
              <m:t xml:space="preserve">Р</m:t>
            </m:r>
          </m:e>
          <m:sub>
            <m:r>
              <w:rPr>
                <w:rFonts w:ascii="Cambria Math" w:hAnsi="Cambria Math"/>
              </w:rPr>
              <m:t xml:space="preserve">ТП</m:t>
            </m:r>
            <m:r>
              <w:rPr>
                <w:rFonts w:ascii="Cambria Math" w:hAnsi="Cambria Math"/>
              </w:rPr>
              <m:t xml:space="preserve">t</m:t>
            </m:r>
          </m:sub>
        </m:sSub>
        <m:r>
          <w:rPr>
            <w:rFonts w:ascii="Cambria Math" w:hAnsi="Cambria Math"/>
          </w:rPr>
          <m:t xml:space="preserve">=</m:t>
        </m:r>
        <m:f>
          <m:fPr>
            <m:type m:val="lin"/>
          </m:fPr>
          <m:num>
            <m:r>
              <w:rPr>
                <w:rFonts w:ascii="Cambria Math" w:hAnsi="Cambria Math"/>
              </w:rPr>
              <m:t xml:space="preserve">371</m:t>
            </m:r>
            <m:r>
              <w:rPr>
                <w:rFonts w:ascii="Cambria Math" w:hAnsi="Cambria Math"/>
              </w:rPr>
              <m:t xml:space="preserve">×</m:t>
            </m:r>
            <m:sSub>
              <m:e>
                <m:r>
                  <w:rPr>
                    <w:rFonts w:ascii="Cambria Math" w:hAnsi="Cambria Math"/>
                  </w:rPr>
                  <m:t xml:space="preserve">N</m:t>
                </m:r>
              </m:e>
              <m:sub>
                <m:r>
                  <w:rPr>
                    <w:rFonts w:ascii="Cambria Math" w:hAnsi="Cambria Math"/>
                  </w:rPr>
                  <m:t xml:space="preserve">ТП</m:t>
                </m:r>
              </m:sub>
            </m:sSub>
            <m:r>
              <w:rPr>
                <w:rFonts w:ascii="Cambria Math" w:hAnsi="Cambria Math"/>
              </w:rPr>
              <m:t xml:space="preserve">×</m:t>
            </m:r>
            <m:sSub>
              <m:e>
                <m:r>
                  <w:rPr>
                    <w:rFonts w:ascii="Cambria Math" w:hAnsi="Cambria Math"/>
                  </w:rPr>
                  <m:t xml:space="preserve">I</m:t>
                </m:r>
              </m:e>
              <m:sub>
                <m:r>
                  <w:rPr>
                    <w:rFonts w:ascii="Cambria Math" w:hAnsi="Cambria Math"/>
                  </w:rPr>
                  <m:t xml:space="preserve">МТ</m:t>
                </m:r>
              </m:sub>
            </m:sSub>
          </m:num>
          <m:den>
            <m:sSub>
              <m:e>
                <m:r>
                  <w:rPr>
                    <w:rFonts w:ascii="Cambria Math" w:hAnsi="Cambria Math"/>
                  </w:rPr>
                  <m:t xml:space="preserve">L</m:t>
                </m:r>
              </m:e>
              <m:sub>
                <m:r>
                  <w:rPr>
                    <w:rFonts w:ascii="Cambria Math" w:hAnsi="Cambria Math"/>
                  </w:rPr>
                  <m:t xml:space="preserve">сумм</m:t>
                </m:r>
                <m:r>
                  <w:rPr>
                    <w:rFonts w:ascii="Cambria Math" w:hAnsi="Cambria Math"/>
                  </w:rPr>
                  <m:t xml:space="preserve">t</m:t>
                </m:r>
              </m:sub>
            </m:sSub>
          </m:den>
        </m:f>
      </m:oMath>
      <w:r>
        <w:rPr>
          <w:sz w:val="28"/>
          <w:szCs w:val="28"/>
        </w:rPr>
        <w:t>, руб./км (14)</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sz w:val="28"/>
          <w:szCs w:val="28"/>
        </w:rPr>
        <w:t xml:space="preserve">371 </w:t>
      </w:r>
      <w:r>
        <w:rPr>
          <w:rFonts w:eastAsia="" w:cs="Times New Roman" w:eastAsiaTheme="minorEastAsia"/>
          <w:color w:val="auto"/>
          <w:kern w:val="0"/>
          <w:sz w:val="28"/>
          <w:szCs w:val="28"/>
          <w:lang w:val="ru-RU" w:eastAsia="ru-RU" w:bidi="ar-SA"/>
        </w:rPr>
        <w:t>−</w:t>
      </w:r>
      <w:r>
        <w:rPr>
          <w:sz w:val="28"/>
          <w:szCs w:val="28"/>
        </w:rPr>
        <w:t xml:space="preserve"> базовые удельные расходы на содержание тяговых подстанций, руб./1кВт установленной мощности тяговых подстанций;</w:t>
      </w:r>
    </w:p>
    <w:p>
      <w:pPr>
        <w:pStyle w:val="ConsPlusNormal"/>
        <w:spacing w:before="0" w:after="0"/>
        <w:ind w:left="0" w:right="0" w:firstLine="709"/>
        <w:jc w:val="both"/>
        <w:rPr/>
      </w:pPr>
      <w:r>
        <w:rPr/>
        <w:drawing>
          <wp:inline distT="0" distB="0" distL="0" distR="0">
            <wp:extent cx="336550" cy="278130"/>
            <wp:effectExtent l="0" t="0" r="0" b="0"/>
            <wp:docPr id="182" name="Рисунок 2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Рисунок 222" descr=""/>
                    <pic:cNvPicPr>
                      <a:picLocks noChangeAspect="1" noChangeArrowheads="1"/>
                    </pic:cNvPicPr>
                  </pic:nvPicPr>
                  <pic:blipFill>
                    <a:blip r:embed="rId197"/>
                    <a:stretch>
                      <a:fillRect/>
                    </a:stretch>
                  </pic:blipFill>
                  <pic:spPr bwMode="auto">
                    <a:xfrm>
                      <a:off x="0" y="0"/>
                      <a:ext cx="33655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установленная мощность тяговых подстанций для предусмотренных контрактом маршрутов, кВт;</w:t>
      </w:r>
    </w:p>
    <w:p>
      <w:pPr>
        <w:pStyle w:val="ConsPlusNormal"/>
        <w:spacing w:before="0" w:after="0"/>
        <w:ind w:left="0" w:right="0" w:firstLine="709"/>
        <w:jc w:val="both"/>
        <w:rPr/>
      </w:pPr>
      <w:r>
        <w:rPr/>
        <w:drawing>
          <wp:inline distT="0" distB="0" distL="0" distR="0">
            <wp:extent cx="241300" cy="278130"/>
            <wp:effectExtent l="0" t="0" r="0" b="0"/>
            <wp:docPr id="183" name="Рисунок 2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Рисунок 223" descr=""/>
                    <pic:cNvPicPr>
                      <a:picLocks noChangeAspect="1" noChangeArrowheads="1"/>
                    </pic:cNvPicPr>
                  </pic:nvPicPr>
                  <pic:blipFill>
                    <a:blip r:embed="rId109"/>
                    <a:stretch>
                      <a:fillRect/>
                    </a:stretch>
                  </pic:blipFill>
                  <pic:spPr bwMode="auto">
                    <a:xfrm>
                      <a:off x="0" y="0"/>
                      <a:ext cx="24130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индекс цен на машины и оборудование для t-ого года срока действия контракта (принимается равным произведению определяемых Росстатом индексов цен производителей машин и оборудования за период с декабря 2017 года по период, ближайший к началу срока действия контракта, и прогнозного индекса цен производителей на продукцию машиностроения для каждого года срока действия контракта, определяемого Минэкономразвития России в прогнозе социально-экономического развития Российской Федерации (если срок действия контракта превышает срок прогноза, индекс цен производителей на продукцию машиностроения для каждого года срока действия контракта, не указанного в прогнозе, принимается равным индексу цен производителей на продукцию машиностроения, указанному для последнего года прогноза));</w:t>
      </w:r>
    </w:p>
    <w:p>
      <w:pPr>
        <w:pStyle w:val="ConsPlusNormal"/>
        <w:spacing w:before="0" w:after="0"/>
        <w:ind w:left="0" w:right="0" w:firstLine="709"/>
        <w:jc w:val="both"/>
        <w:rPr/>
      </w:pPr>
      <w:r>
        <w:rPr/>
        <w:drawing>
          <wp:inline distT="0" distB="0" distL="0" distR="0">
            <wp:extent cx="424180" cy="285115"/>
            <wp:effectExtent l="0" t="0" r="0" b="0"/>
            <wp:docPr id="184" name="Рисунок 2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Рисунок 263" descr=""/>
                    <pic:cNvPicPr>
                      <a:picLocks noChangeAspect="1" noChangeArrowheads="1"/>
                    </pic:cNvPicPr>
                  </pic:nvPicPr>
                  <pic:blipFill>
                    <a:blip r:embed="rId195"/>
                    <a:stretch>
                      <a:fillRect/>
                    </a:stretch>
                  </pic:blipFill>
                  <pic:spPr bwMode="auto">
                    <a:xfrm>
                      <a:off x="0" y="0"/>
                      <a:ext cx="424180"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суммарный планируемый пробег трамвая всех классов по всем маршрутам, предусмотренным Документом планирования перевозок, в t-ом году срока действия контракта (может определяться в соответствии с длиной рейсов и частотой движения по периодам суток и дням недели, установленными Документом планирования регулярных перевозок для каждого из маршрутов, с учетом планируемых изменений трасс и параметров движения в период исполнения контракта), км.</w:t>
      </w:r>
    </w:p>
    <w:p>
      <w:pPr>
        <w:pStyle w:val="ConsPlusNormal"/>
        <w:spacing w:before="0" w:after="0"/>
        <w:ind w:left="0" w:right="0" w:firstLine="709"/>
        <w:jc w:val="both"/>
        <w:rPr/>
      </w:pPr>
      <w:bookmarkStart w:id="39" w:name="Par767"/>
      <w:bookmarkEnd w:id="39"/>
      <w:r>
        <w:rPr>
          <w:sz w:val="28"/>
          <w:szCs w:val="28"/>
        </w:rPr>
        <w:t>15. Расходы на содержание и ремонт трамвайного пути в t-ом году срока действия контракта в расчете на 1 км пробега (</w:t>
      </w:r>
      <w:r>
        <w:rPr>
          <w:i/>
          <w:iCs/>
          <w:sz w:val="28"/>
          <w:szCs w:val="28"/>
        </w:rPr>
        <w:t>Р</w:t>
      </w:r>
      <w:r>
        <w:rPr>
          <w:i/>
          <w:iCs/>
          <w:sz w:val="28"/>
          <w:szCs w:val="28"/>
          <w:vertAlign w:val="subscript"/>
        </w:rPr>
        <w:t>Пt</w:t>
      </w:r>
      <w:r>
        <w:rPr>
          <w:sz w:val="28"/>
          <w:szCs w:val="28"/>
        </w:rPr>
        <w:t>) рассчитывают по формуле (15).</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r>
      <m:oMath xmlns:m="http://schemas.openxmlformats.org/officeDocument/2006/math">
        <m:sSub>
          <m:e>
            <m:r>
              <w:rPr>
                <w:rFonts w:ascii="Cambria Math" w:hAnsi="Cambria Math"/>
              </w:rPr>
              <m:t xml:space="preserve">Р</m:t>
            </m:r>
          </m:e>
          <m:sub>
            <m:r>
              <w:rPr>
                <w:rFonts w:ascii="Cambria Math" w:hAnsi="Cambria Math"/>
              </w:rPr>
              <m:t xml:space="preserve">П</m:t>
            </m:r>
            <m:r>
              <w:rPr>
                <w:rFonts w:ascii="Cambria Math" w:hAnsi="Cambria Math"/>
              </w:rPr>
              <m:t xml:space="preserve">t</m:t>
            </m:r>
          </m:sub>
        </m:sSub>
        <m:r>
          <w:rPr>
            <w:rFonts w:ascii="Cambria Math" w:hAnsi="Cambria Math"/>
          </w:rPr>
          <m:t xml:space="preserve">=</m:t>
        </m:r>
        <m:r>
          <w:rPr>
            <w:rFonts w:ascii="Cambria Math" w:hAnsi="Cambria Math"/>
          </w:rPr>
          <m:t xml:space="preserve">2</m:t>
        </m:r>
        <m:r>
          <w:rPr>
            <w:rFonts w:ascii="Cambria Math" w:hAnsi="Cambria Math"/>
          </w:rPr>
          <m:t xml:space="preserve">450</m:t>
        </m:r>
        <m:r>
          <w:rPr>
            <w:rFonts w:ascii="Cambria Math" w:hAnsi="Cambria Math"/>
          </w:rPr>
          <m:t xml:space="preserve">000</m:t>
        </m:r>
        <m:r>
          <w:rPr>
            <w:rFonts w:ascii="Cambria Math" w:hAnsi="Cambria Math"/>
          </w:rPr>
          <m:t xml:space="preserve">×</m:t>
        </m:r>
        <m:sSub>
          <m:e>
            <m:r>
              <w:rPr>
                <w:rFonts w:ascii="Cambria Math" w:hAnsi="Cambria Math"/>
              </w:rPr>
              <m:t xml:space="preserve">l</m:t>
            </m:r>
          </m:e>
          <m:sub>
            <m:r>
              <w:rPr>
                <w:rFonts w:ascii="Cambria Math" w:hAnsi="Cambria Math"/>
              </w:rPr>
              <m:t xml:space="preserve">n</m:t>
            </m:r>
          </m:sub>
        </m:sSub>
        <m:r>
          <w:rPr>
            <w:rFonts w:ascii="Cambria Math" w:hAnsi="Cambria Math"/>
          </w:rPr>
          <m:t xml:space="preserve">×</m:t>
        </m:r>
        <m:sSub>
          <m:e>
            <m:r>
              <w:rPr>
                <w:rFonts w:ascii="Cambria Math" w:hAnsi="Cambria Math"/>
              </w:rPr>
              <m:t xml:space="preserve">К</m:t>
            </m:r>
          </m:e>
          <m:sub>
            <m:r>
              <w:rPr>
                <w:rFonts w:ascii="Cambria Math" w:hAnsi="Cambria Math"/>
              </w:rPr>
              <m:t xml:space="preserve">уэ</m:t>
            </m:r>
          </m:sub>
        </m:sSub>
        <m:r>
          <w:rPr>
            <w:rFonts w:ascii="Cambria Math" w:hAnsi="Cambria Math"/>
          </w:rPr>
          <m:t xml:space="preserve">×</m:t>
        </m:r>
        <m:sSub>
          <m:e>
            <m:r>
              <w:rPr>
                <w:rFonts w:ascii="Cambria Math" w:hAnsi="Cambria Math"/>
              </w:rPr>
              <m:t xml:space="preserve">К</m:t>
            </m:r>
          </m:e>
          <m:sub>
            <m:r>
              <w:rPr>
                <w:rFonts w:ascii="Cambria Math" w:hAnsi="Cambria Math"/>
              </w:rPr>
              <m:t xml:space="preserve">пку</m:t>
            </m:r>
          </m:sub>
        </m:sSub>
        <m:r>
          <w:rPr>
            <w:rFonts w:ascii="Cambria Math" w:hAnsi="Cambria Math"/>
          </w:rPr>
          <m:t xml:space="preserve">×</m:t>
        </m:r>
        <m:f>
          <m:fPr>
            <m:type m:val="lin"/>
          </m:fPr>
          <m:num>
            <m:sSub>
              <m:e>
                <m:r>
                  <w:rPr>
                    <w:rFonts w:ascii="Cambria Math" w:hAnsi="Cambria Math"/>
                  </w:rPr>
                  <m:t xml:space="preserve">I</m:t>
                </m:r>
              </m:e>
              <m:sub>
                <m:r>
                  <w:rPr>
                    <w:rFonts w:ascii="Cambria Math" w:hAnsi="Cambria Math"/>
                  </w:rPr>
                  <m:t xml:space="preserve">MT</m:t>
                </m:r>
              </m:sub>
            </m:sSub>
          </m:num>
          <m:den>
            <m:sSub>
              <m:e>
                <m:r>
                  <w:rPr>
                    <w:rFonts w:ascii="Cambria Math" w:hAnsi="Cambria Math"/>
                  </w:rPr>
                  <m:t xml:space="preserve">L</m:t>
                </m:r>
              </m:e>
              <m:sub>
                <m:r>
                  <w:rPr>
                    <w:rFonts w:ascii="Cambria Math" w:hAnsi="Cambria Math"/>
                  </w:rPr>
                  <m:t xml:space="preserve">суммt</m:t>
                </m:r>
              </m:sub>
            </m:sSub>
          </m:den>
        </m:f>
      </m:oMath>
      <w:r>
        <w:rPr>
          <w:sz w:val="28"/>
          <w:szCs w:val="28"/>
        </w:rPr>
        <w:t>, руб./км (15)</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sz w:val="28"/>
          <w:szCs w:val="28"/>
        </w:rPr>
        <w:t>2 450 000 - базовые удельные расходы на содержание и ремонт трамвайного пути (включая капитальный ремонт), в однопутном исчислении, руб./км;</w:t>
      </w:r>
    </w:p>
    <w:p>
      <w:pPr>
        <w:pStyle w:val="ConsPlusNormal"/>
        <w:spacing w:before="0" w:after="0"/>
        <w:ind w:left="0" w:right="0" w:firstLine="709"/>
        <w:jc w:val="both"/>
        <w:rPr/>
      </w:pPr>
      <w:r>
        <w:rPr/>
        <w:drawing>
          <wp:inline distT="0" distB="0" distL="0" distR="0">
            <wp:extent cx="175260" cy="278130"/>
            <wp:effectExtent l="0" t="0" r="0" b="0"/>
            <wp:docPr id="185" name="Рисунок 2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Рисунок 227" descr=""/>
                    <pic:cNvPicPr>
                      <a:picLocks noChangeAspect="1" noChangeArrowheads="1"/>
                    </pic:cNvPicPr>
                  </pic:nvPicPr>
                  <pic:blipFill>
                    <a:blip r:embed="rId198"/>
                    <a:stretch>
                      <a:fillRect/>
                    </a:stretch>
                  </pic:blipFill>
                  <pic:spPr bwMode="auto">
                    <a:xfrm>
                      <a:off x="0" y="0"/>
                      <a:ext cx="17526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суммарная протяженность трамвайного пути в однопутном исчислении (в расчет принимается протяженность всех путей трамвайной сети, в рамках которой планируется эксплуатация маршрутов в соответствии с контрактом, включая деповские, служебные и прочие пути), км;</w:t>
      </w:r>
    </w:p>
    <w:p>
      <w:pPr>
        <w:pStyle w:val="ConsPlusNormal"/>
        <w:spacing w:before="0" w:after="0"/>
        <w:ind w:left="0" w:right="0" w:firstLine="709"/>
        <w:jc w:val="both"/>
        <w:rPr/>
      </w:pPr>
      <w:r>
        <w:rPr/>
        <w:drawing>
          <wp:inline distT="0" distB="0" distL="0" distR="0">
            <wp:extent cx="314325" cy="285115"/>
            <wp:effectExtent l="0" t="0" r="0" b="0"/>
            <wp:docPr id="186" name="Рисунок 2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Рисунок 229" descr=""/>
                    <pic:cNvPicPr>
                      <a:picLocks noChangeAspect="1" noChangeArrowheads="1"/>
                    </pic:cNvPicPr>
                  </pic:nvPicPr>
                  <pic:blipFill>
                    <a:blip r:embed="rId199"/>
                    <a:stretch>
                      <a:fillRect/>
                    </a:stretch>
                  </pic:blipFill>
                  <pic:spPr bwMode="auto">
                    <a:xfrm>
                      <a:off x="0" y="0"/>
                      <a:ext cx="314325"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коэффициент корректировки базовых удельных расходов на содержание и ремонт трамвайного пути в зависимости от условий эксплуатации трамвайного пути (принимается в соответствии с </w:t>
      </w:r>
      <w:hyperlink w:anchor="Par714" w:tgtFrame="Коэффициент корректировки базовых удельных расходов">
        <w:r>
          <w:rPr>
            <w:sz w:val="28"/>
            <w:szCs w:val="28"/>
          </w:rPr>
          <w:t>таблицей 3</w:t>
        </w:r>
      </w:hyperlink>
      <w:r>
        <w:rPr>
          <w:sz w:val="28"/>
          <w:szCs w:val="28"/>
        </w:rPr>
        <w:t>);</w:t>
      </w:r>
    </w:p>
    <w:p>
      <w:pPr>
        <w:pStyle w:val="ConsPlusNormal"/>
        <w:spacing w:before="0" w:after="0"/>
        <w:ind w:left="0" w:right="0" w:firstLine="709"/>
        <w:jc w:val="both"/>
        <w:rPr/>
      </w:pPr>
      <w:r>
        <w:rPr/>
        <w:drawing>
          <wp:inline distT="0" distB="0" distL="0" distR="0">
            <wp:extent cx="358140" cy="285115"/>
            <wp:effectExtent l="0" t="0" r="0" b="0"/>
            <wp:docPr id="187" name="Рисунок 2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Рисунок 230" descr=""/>
                    <pic:cNvPicPr>
                      <a:picLocks noChangeAspect="1" noChangeArrowheads="1"/>
                    </pic:cNvPicPr>
                  </pic:nvPicPr>
                  <pic:blipFill>
                    <a:blip r:embed="rId200"/>
                    <a:stretch>
                      <a:fillRect/>
                    </a:stretch>
                  </pic:blipFill>
                  <pic:spPr bwMode="auto">
                    <a:xfrm>
                      <a:off x="0" y="0"/>
                      <a:ext cx="358140"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коэффициент корректирования базовых удельных расходов на содержание и ремонт трамвайного пути в зависимости от природно-климатических условий (принимается в соответствии с </w:t>
      </w:r>
      <w:hyperlink w:anchor="Par739" w:tgtFrame="Коэффициент корректирования базовых удельных">
        <w:r>
          <w:rPr>
            <w:sz w:val="28"/>
            <w:szCs w:val="28"/>
          </w:rPr>
          <w:t>таблицей 4</w:t>
        </w:r>
      </w:hyperlink>
      <w:r>
        <w:rPr>
          <w:sz w:val="28"/>
          <w:szCs w:val="28"/>
        </w:rPr>
        <w:t>);</w:t>
      </w:r>
    </w:p>
    <w:p>
      <w:pPr>
        <w:pStyle w:val="ConsPlusNormal"/>
        <w:spacing w:before="0" w:after="0"/>
        <w:ind w:left="0" w:right="0" w:firstLine="709"/>
        <w:jc w:val="both"/>
        <w:rPr/>
      </w:pPr>
      <w:r>
        <w:rPr/>
        <w:drawing>
          <wp:inline distT="0" distB="0" distL="0" distR="0">
            <wp:extent cx="241300" cy="278130"/>
            <wp:effectExtent l="0" t="0" r="0" b="0"/>
            <wp:docPr id="188" name="Рисунок 2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Рисунок 231" descr=""/>
                    <pic:cNvPicPr>
                      <a:picLocks noChangeAspect="1" noChangeArrowheads="1"/>
                    </pic:cNvPicPr>
                  </pic:nvPicPr>
                  <pic:blipFill>
                    <a:blip r:embed="rId109"/>
                    <a:stretch>
                      <a:fillRect/>
                    </a:stretch>
                  </pic:blipFill>
                  <pic:spPr bwMode="auto">
                    <a:xfrm>
                      <a:off x="0" y="0"/>
                      <a:ext cx="24130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индекс цен на машины и оборудование для t-ого года срока действия контракта (принимается равным произведению определяемых Росстатом индексов цен производителей машин и оборудования за период с декабря 2019 года по период, ближайший к началу срока действия контракта, и прогнозного индекса цен производителей на продукцию машиностроения для каждого года срока действия контракта, определяемого Минэкономразвития России в прогнозе социально-экономического развития Российской Федерации (если срок действия контракта превышает срок прогноза, индекс цен производителей на продукцию машиностроения для каждого года срока действия контракта, не указанного в прогнозе, принимается равным индексу цен производителей на продукцию машиностроения, указанному для последнего года прогноза));</w:t>
      </w:r>
    </w:p>
    <w:p>
      <w:pPr>
        <w:pStyle w:val="ConsPlusNormal"/>
        <w:spacing w:before="0" w:after="0"/>
        <w:ind w:left="0" w:right="0" w:firstLine="709"/>
        <w:jc w:val="both"/>
        <w:rPr/>
      </w:pPr>
      <w:r>
        <w:rPr/>
        <w:drawing>
          <wp:inline distT="0" distB="0" distL="0" distR="0">
            <wp:extent cx="424180" cy="285115"/>
            <wp:effectExtent l="0" t="0" r="0" b="0"/>
            <wp:docPr id="189" name="Рисунок 2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Рисунок 265" descr=""/>
                    <pic:cNvPicPr>
                      <a:picLocks noChangeAspect="1" noChangeArrowheads="1"/>
                    </pic:cNvPicPr>
                  </pic:nvPicPr>
                  <pic:blipFill>
                    <a:blip r:embed="rId195"/>
                    <a:stretch>
                      <a:fillRect/>
                    </a:stretch>
                  </pic:blipFill>
                  <pic:spPr bwMode="auto">
                    <a:xfrm>
                      <a:off x="0" y="0"/>
                      <a:ext cx="424180"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суммарный планируемый пробег трамвая всех классов по всем маршрутам, предусмотренным Документом планирования перевозок, в t-ом году срока действия контракта (может определяться в соответствии с длиной рейсов и частотой движения по периодам суток и дням недели, установленными Документом планирования регулярных перевозок для каждого из маршрутов, с учетом планируемых изменений трасс и параметров движения в период исполнения контракта), км.</w:t>
      </w:r>
    </w:p>
    <w:p>
      <w:pPr>
        <w:pStyle w:val="ConsPlusNormal"/>
        <w:spacing w:before="0" w:after="0"/>
        <w:ind w:left="0" w:right="0" w:firstLine="709"/>
        <w:jc w:val="both"/>
        <w:rPr/>
      </w:pPr>
      <w:bookmarkStart w:id="40" w:name="Par779"/>
      <w:bookmarkEnd w:id="40"/>
      <w:r>
        <w:rPr>
          <w:sz w:val="28"/>
          <w:szCs w:val="28"/>
        </w:rPr>
        <w:t>16. Расходы на содержание собственной службы движения (без учета содержания зданий конечных станций) в t-ом году срока действия контракта в расчете на 1 км пробега (</w:t>
      </w:r>
      <w:r>
        <w:rPr>
          <w:i/>
          <w:iCs/>
          <w:sz w:val="28"/>
          <w:szCs w:val="28"/>
        </w:rPr>
        <w:t>Р</w:t>
      </w:r>
      <w:r>
        <w:rPr>
          <w:i/>
          <w:iCs/>
          <w:sz w:val="28"/>
          <w:szCs w:val="28"/>
          <w:vertAlign w:val="subscript"/>
        </w:rPr>
        <w:t>СДt</w:t>
      </w:r>
      <w:r>
        <w:rPr>
          <w:sz w:val="28"/>
          <w:szCs w:val="28"/>
        </w:rPr>
        <w:t>) определяются по формуле (1</w:t>
      </w:r>
      <w:r>
        <w:rPr>
          <w:sz w:val="28"/>
          <w:szCs w:val="28"/>
        </w:rPr>
        <w:t>6</w:t>
      </w:r>
      <w:r>
        <w:rPr>
          <w:sz w:val="28"/>
          <w:szCs w:val="28"/>
        </w:rPr>
        <w:t>).</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r>
      <m:oMath xmlns:m="http://schemas.openxmlformats.org/officeDocument/2006/math">
        <m:sSub>
          <m:e>
            <m:r>
              <w:rPr>
                <w:rFonts w:ascii="Cambria Math" w:hAnsi="Cambria Math"/>
              </w:rPr>
              <m:t xml:space="preserve">Р</m:t>
            </m:r>
          </m:e>
          <m:sub>
            <m:r>
              <w:rPr>
                <w:rFonts w:ascii="Cambria Math" w:hAnsi="Cambria Math"/>
              </w:rPr>
              <m:t xml:space="preserve">СД</m:t>
            </m:r>
            <m:r>
              <w:rPr>
                <w:rFonts w:ascii="Cambria Math" w:hAnsi="Cambria Math"/>
              </w:rPr>
              <m:t xml:space="preserve">t</m:t>
            </m:r>
          </m:sub>
        </m:sSub>
        <m:r>
          <w:rPr>
            <w:rFonts w:ascii="Cambria Math" w:hAnsi="Cambria Math"/>
          </w:rPr>
          <m:t xml:space="preserve">=</m:t>
        </m:r>
        <m:r>
          <w:rPr>
            <w:rFonts w:ascii="Cambria Math" w:hAnsi="Cambria Math"/>
          </w:rPr>
          <m:t xml:space="preserve">75</m:t>
        </m:r>
        <m:r>
          <w:rPr>
            <w:rFonts w:ascii="Cambria Math" w:hAnsi="Cambria Math"/>
          </w:rPr>
          <m:t xml:space="preserve">000</m:t>
        </m:r>
        <m:r>
          <w:rPr>
            <w:rFonts w:ascii="Cambria Math" w:hAnsi="Cambria Math"/>
          </w:rPr>
          <m:t xml:space="preserve">×</m:t>
        </m:r>
        <m:r>
          <w:rPr>
            <w:rFonts w:ascii="Cambria Math" w:hAnsi="Cambria Math"/>
          </w:rPr>
          <m:t xml:space="preserve">М</m:t>
        </m:r>
        <m:r>
          <w:rPr>
            <w:rFonts w:ascii="Cambria Math" w:hAnsi="Cambria Math"/>
          </w:rPr>
          <m:t xml:space="preserve">×</m:t>
        </m:r>
        <m:r>
          <w:rPr>
            <w:rFonts w:ascii="Cambria Math" w:hAnsi="Cambria Math"/>
          </w:rPr>
          <m:t xml:space="preserve">СЗП</m:t>
        </m:r>
        <m:r>
          <w:rPr>
            <w:rFonts w:ascii="Cambria Math" w:hAnsi="Cambria Math"/>
          </w:rPr>
          <m:t xml:space="preserve">×</m:t>
        </m:r>
        <m:f>
          <m:fPr>
            <m:type m:val="lin"/>
          </m:fPr>
          <m:num>
            <m:f>
              <m:fPr>
                <m:type m:val="lin"/>
              </m:fPr>
              <m:num>
                <m:sSub>
                  <m:e>
                    <m:r>
                      <w:rPr>
                        <w:rFonts w:ascii="Cambria Math" w:hAnsi="Cambria Math"/>
                      </w:rPr>
                      <m:t xml:space="preserve">I</m:t>
                    </m:r>
                  </m:e>
                  <m:sub>
                    <m:r>
                      <w:rPr>
                        <w:rFonts w:ascii="Cambria Math" w:hAnsi="Cambria Math"/>
                      </w:rPr>
                      <m:t xml:space="preserve">пц</m:t>
                    </m:r>
                    <m:r>
                      <w:rPr>
                        <w:rFonts w:ascii="Cambria Math" w:hAnsi="Cambria Math"/>
                      </w:rPr>
                      <m:t xml:space="preserve">t</m:t>
                    </m:r>
                    <m:r>
                      <w:rPr>
                        <w:rFonts w:ascii="Cambria Math" w:hAnsi="Cambria Math"/>
                      </w:rPr>
                      <m:t xml:space="preserve">д</m:t>
                    </m:r>
                  </m:sub>
                </m:sSub>
              </m:num>
              <m:den>
                <m:sSub>
                  <m:e>
                    <m:r>
                      <w:rPr>
                        <w:rFonts w:ascii="Cambria Math" w:hAnsi="Cambria Math"/>
                      </w:rPr>
                      <m:t xml:space="preserve">СЗП</m:t>
                    </m:r>
                  </m:e>
                  <m:sub>
                    <m:r>
                      <w:rPr>
                        <w:rFonts w:ascii="Cambria Math" w:hAnsi="Cambria Math"/>
                      </w:rPr>
                      <m:t xml:space="preserve">РФ</m:t>
                    </m:r>
                  </m:sub>
                </m:sSub>
              </m:den>
            </m:f>
          </m:num>
          <m:den>
            <m:sSub>
              <m:e>
                <m:r>
                  <w:rPr>
                    <w:rFonts w:ascii="Cambria Math" w:hAnsi="Cambria Math"/>
                  </w:rPr>
                  <m:t xml:space="preserve">L</m:t>
                </m:r>
              </m:e>
              <m:sub>
                <m:r>
                  <w:rPr>
                    <w:rFonts w:ascii="Cambria Math" w:hAnsi="Cambria Math"/>
                  </w:rPr>
                  <m:t xml:space="preserve">суммК</m:t>
                </m:r>
                <m:r>
                  <w:rPr>
                    <w:rFonts w:ascii="Cambria Math" w:hAnsi="Cambria Math"/>
                  </w:rPr>
                  <m:t xml:space="preserve">t</m:t>
                </m:r>
              </m:sub>
            </m:sSub>
          </m:den>
        </m:f>
      </m:oMath>
      <w:r>
        <w:rPr>
          <w:i/>
          <w:sz w:val="28"/>
          <w:szCs w:val="28"/>
        </w:rPr>
        <w:t>,</w:t>
      </w:r>
      <w:r>
        <w:rPr>
          <w:sz w:val="28"/>
          <w:szCs w:val="28"/>
        </w:rPr>
        <w:t xml:space="preserve"> руб./км (16)</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sz w:val="28"/>
          <w:szCs w:val="28"/>
        </w:rPr>
        <w:t xml:space="preserve">75 000 </w:t>
      </w:r>
      <w:r>
        <w:rPr>
          <w:rFonts w:eastAsia="" w:cs="Times New Roman" w:eastAsiaTheme="minorEastAsia"/>
          <w:color w:val="auto"/>
          <w:kern w:val="0"/>
          <w:sz w:val="28"/>
          <w:szCs w:val="28"/>
          <w:lang w:val="ru-RU" w:eastAsia="ru-RU" w:bidi="ar-SA"/>
        </w:rPr>
        <w:t>−</w:t>
      </w:r>
      <w:r>
        <w:rPr>
          <w:sz w:val="28"/>
          <w:szCs w:val="28"/>
        </w:rPr>
        <w:t xml:space="preserve"> базовые удельные расходы на содержание собственной службы движения, руб.;</w:t>
      </w:r>
    </w:p>
    <w:p>
      <w:pPr>
        <w:pStyle w:val="ConsPlusNormal"/>
        <w:spacing w:before="0" w:after="0"/>
        <w:ind w:left="0" w:right="0" w:firstLine="709"/>
        <w:jc w:val="both"/>
        <w:rPr/>
      </w:pPr>
      <w:r>
        <w:rPr/>
        <w:drawing>
          <wp:inline distT="0" distB="0" distL="0" distR="0">
            <wp:extent cx="247650" cy="200025"/>
            <wp:effectExtent l="0" t="0" r="0" b="0"/>
            <wp:docPr id="190"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Рисунок 1" descr=""/>
                    <pic:cNvPicPr>
                      <a:picLocks noChangeAspect="1" noChangeArrowheads="1"/>
                    </pic:cNvPicPr>
                  </pic:nvPicPr>
                  <pic:blipFill>
                    <a:blip r:embed="rId201"/>
                    <a:stretch>
                      <a:fillRect/>
                    </a:stretch>
                  </pic:blipFill>
                  <pic:spPr bwMode="auto">
                    <a:xfrm>
                      <a:off x="0" y="0"/>
                      <a:ext cx="247650" cy="20002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общее максимальное количество поездов трамвая всех классов, одновременно работающих на маршрутах (выпуск транспортных средств в час пик) в соответствии с контрактом (может определяться в соответствии с Документом планирования регулярных перевозок по дням недели и периоду суток, для которого установлен минимальный интервал движения), ед.;</w:t>
      </w:r>
    </w:p>
    <w:p>
      <w:pPr>
        <w:pStyle w:val="ConsPlusNormal"/>
        <w:spacing w:before="0" w:after="0"/>
        <w:ind w:left="0" w:right="0" w:firstLine="709"/>
        <w:jc w:val="both"/>
        <w:rPr/>
      </w:pPr>
      <w:r>
        <w:rPr/>
        <w:drawing>
          <wp:inline distT="0" distB="0" distL="0" distR="0">
            <wp:extent cx="409575" cy="219710"/>
            <wp:effectExtent l="0" t="0" r="0" b="0"/>
            <wp:docPr id="191" name="Рисунок 2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Рисунок 236" descr=""/>
                    <pic:cNvPicPr>
                      <a:picLocks noChangeAspect="1" noChangeArrowheads="1"/>
                    </pic:cNvPicPr>
                  </pic:nvPicPr>
                  <pic:blipFill>
                    <a:blip r:embed="rId202"/>
                    <a:stretch>
                      <a:fillRect/>
                    </a:stretch>
                  </pic:blipFill>
                  <pic:spPr bwMode="auto">
                    <a:xfrm>
                      <a:off x="0" y="0"/>
                      <a:ext cx="409575" cy="21971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муниципального образования по месту осуществления перевозок в год, предшествующий первому году срока действия контракта, руб.;</w:t>
      </w:r>
    </w:p>
    <w:p>
      <w:pPr>
        <w:pStyle w:val="ConsPlusNormal"/>
        <w:spacing w:before="0" w:after="0"/>
        <w:ind w:left="0" w:right="0" w:firstLine="709"/>
        <w:jc w:val="both"/>
        <w:rPr/>
      </w:pPr>
      <w:r>
        <w:rPr/>
        <w:drawing>
          <wp:inline distT="0" distB="0" distL="0" distR="0">
            <wp:extent cx="321945" cy="285115"/>
            <wp:effectExtent l="0" t="0" r="0" b="0"/>
            <wp:docPr id="192" name="Рисунок 2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Рисунок 237" descr=""/>
                    <pic:cNvPicPr>
                      <a:picLocks noChangeAspect="1" noChangeArrowheads="1"/>
                    </pic:cNvPicPr>
                  </pic:nvPicPr>
                  <pic:blipFill>
                    <a:blip r:embed="rId203"/>
                    <a:stretch>
                      <a:fillRect/>
                    </a:stretch>
                  </pic:blipFill>
                  <pic:spPr bwMode="auto">
                    <a:xfrm>
                      <a:off x="0" y="0"/>
                      <a:ext cx="321945"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индекс потребительских цен для t-ого года срока действия контракта, принимаемый равным произведению определяемых Росстатом индексов потребительских цен за период с декабря 2019 года по период, ближайший к началу срока действия контракта, и прогнозного индекса потребительских цен для каждого года срока действия контракта, определяемого Минэкономразвития России в прогнозе социально-экономического развития Российской Федерации (если срок действия контракта превышает срок прогноза, индекс потребительских цен для каждого года срока действия контракта, не указанного в прогнозе, принимается равным индексу потребительских цен, указанному для последнего года прогноза);</w:t>
      </w:r>
    </w:p>
    <w:p>
      <w:pPr>
        <w:pStyle w:val="ConsPlusNormal"/>
        <w:spacing w:before="0" w:after="0"/>
        <w:ind w:left="0" w:right="0" w:firstLine="709"/>
        <w:jc w:val="both"/>
        <w:rPr/>
      </w:pPr>
      <w:r>
        <w:rPr/>
        <w:drawing>
          <wp:inline distT="0" distB="0" distL="0" distR="0">
            <wp:extent cx="563245" cy="278130"/>
            <wp:effectExtent l="0" t="0" r="0" b="0"/>
            <wp:docPr id="193" name="Рисунок 2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Рисунок 238" descr=""/>
                    <pic:cNvPicPr>
                      <a:picLocks noChangeAspect="1" noChangeArrowheads="1"/>
                    </pic:cNvPicPr>
                  </pic:nvPicPr>
                  <pic:blipFill>
                    <a:blip r:embed="rId204"/>
                    <a:stretch>
                      <a:fillRect/>
                    </a:stretch>
                  </pic:blipFill>
                  <pic:spPr bwMode="auto">
                    <a:xfrm>
                      <a:off x="0" y="0"/>
                      <a:ext cx="56324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среднемесячная номинальная начисленная заработная плата организаций всех отраслей экономики Российской Федерации в год, предшествующий первому году срока действия контракта, руб.;</w:t>
      </w:r>
    </w:p>
    <w:p>
      <w:pPr>
        <w:pStyle w:val="ConsPlusNormal"/>
        <w:spacing w:before="0" w:after="0"/>
        <w:ind w:left="0" w:right="0" w:firstLine="709"/>
        <w:jc w:val="both"/>
        <w:rPr/>
      </w:pPr>
      <w:r>
        <w:rPr>
          <w:i/>
          <w:sz w:val="28"/>
          <w:szCs w:val="28"/>
          <w:lang w:val="en-US"/>
        </w:rPr>
        <w:t>L</w:t>
      </w:r>
      <w:r>
        <w:rPr>
          <w:i/>
          <w:iCs/>
          <w:sz w:val="28"/>
          <w:szCs w:val="28"/>
          <w:vertAlign w:val="subscript"/>
        </w:rPr>
        <w:t>суммК</w:t>
      </w:r>
      <w:r>
        <w:rPr>
          <w:i/>
          <w:iCs/>
          <w:sz w:val="28"/>
          <w:szCs w:val="28"/>
          <w:vertAlign w:val="subscript"/>
          <w:lang w:val="en-US"/>
        </w:rPr>
        <w:t>t</w:t>
      </w:r>
      <w:r>
        <w:rPr>
          <w:sz w:val="28"/>
          <w:szCs w:val="28"/>
          <w:vertAlign w:val="subscript"/>
        </w:rPr>
        <w:t xml:space="preserve"> </w:t>
      </w:r>
      <w:r>
        <w:rPr>
          <w:rFonts w:eastAsia="" w:cs="Times New Roman" w:eastAsiaTheme="minorEastAsia"/>
          <w:color w:val="auto"/>
          <w:kern w:val="0"/>
          <w:sz w:val="28"/>
          <w:szCs w:val="28"/>
          <w:vertAlign w:val="subscript"/>
          <w:lang w:val="ru-RU" w:eastAsia="ru-RU" w:bidi="ar-SA"/>
        </w:rPr>
        <w:t>−</w:t>
      </w:r>
      <w:r>
        <w:rPr>
          <w:sz w:val="28"/>
          <w:szCs w:val="28"/>
        </w:rPr>
        <w:t xml:space="preserve"> суммарный планируемый пробег трамвая всех классов по всем маршрутам, предусмотренным контрактом, в t-ом году срока действия контракта (может определяться в соответствии с длиной рейсов и частотой движения по периодам суток и дням недели, установленными Документом планирования регулярных перевозок для каждого из маршрутов, предусмотренных контрактом, с учетом планируемых изменений трасс и параметров движения в период исполнения контракта), км.</w:t>
      </w:r>
    </w:p>
    <w:p>
      <w:pPr>
        <w:pStyle w:val="ConsPlusNormal"/>
        <w:spacing w:before="0" w:after="0"/>
        <w:ind w:left="0" w:right="0" w:firstLine="709"/>
        <w:jc w:val="both"/>
        <w:rPr/>
      </w:pPr>
      <w:bookmarkStart w:id="41" w:name="Par790"/>
      <w:bookmarkEnd w:id="41"/>
      <w:r>
        <w:rPr>
          <w:sz w:val="28"/>
          <w:szCs w:val="28"/>
        </w:rPr>
        <w:t>17. Прочие расходы по обычным видам деятельности в сумме с косвенными расходами в составе расходов, определенном Приложением №4,  для транспортных средств i-го класса в t-ом году срока действия контракта в расчете на 1 км пробега (</w:t>
      </w:r>
      <w:r>
        <w:rPr>
          <w:i/>
          <w:iCs/>
          <w:sz w:val="28"/>
          <w:szCs w:val="28"/>
        </w:rPr>
        <w:t>ПКР</w:t>
      </w:r>
      <w:r>
        <w:rPr>
          <w:i/>
          <w:iCs/>
          <w:sz w:val="28"/>
          <w:szCs w:val="28"/>
          <w:vertAlign w:val="subscript"/>
        </w:rPr>
        <w:t>ti</w:t>
      </w:r>
      <w:r>
        <w:rPr>
          <w:sz w:val="28"/>
          <w:szCs w:val="28"/>
        </w:rPr>
        <w:t>) определяется по формуле (17).</w:t>
      </w:r>
    </w:p>
    <w:p>
      <w:pPr>
        <w:pStyle w:val="ConsPlusNormal"/>
        <w:spacing w:before="0" w:after="0"/>
        <w:ind w:left="0" w:right="0" w:firstLine="709"/>
        <w:jc w:val="both"/>
        <w:rPr>
          <w:sz w:val="28"/>
          <w:szCs w:val="28"/>
        </w:rPr>
      </w:pPr>
      <w:r>
        <w:rPr/>
      </w:r>
    </w:p>
    <w:p>
      <w:pPr>
        <w:pStyle w:val="ConsPlusNormal"/>
        <w:widowControl w:val="false"/>
        <w:suppressAutoHyphens w:val="true"/>
        <w:bidi w:val="0"/>
        <w:spacing w:before="0" w:after="0"/>
        <w:ind w:left="0" w:right="0" w:hanging="0"/>
        <w:jc w:val="center"/>
        <w:rPr/>
      </w:pPr>
      <w:r>
        <w:rPr/>
      </w:r>
      <m:oMath xmlns:m="http://schemas.openxmlformats.org/officeDocument/2006/math">
        <m:sSub>
          <m:e>
            <m:r>
              <w:rPr>
                <w:rFonts w:ascii="Cambria Math" w:hAnsi="Cambria Math"/>
              </w:rPr>
              <m:t xml:space="preserve">ПКР</m:t>
            </m:r>
          </m:e>
          <m:sub>
            <m:r>
              <w:rPr>
                <w:rFonts w:ascii="Cambria Math" w:hAnsi="Cambria Math"/>
              </w:rPr>
              <m:t xml:space="preserve">ti</m:t>
            </m:r>
          </m:sub>
        </m:sSub>
        <m:r>
          <w:rPr>
            <w:rFonts w:ascii="Cambria Math" w:hAnsi="Cambria Math"/>
          </w:rPr>
          <m:t xml:space="preserve">=</m:t>
        </m:r>
        <m:d>
          <m:dPr>
            <m:begChr m:val="("/>
            <m:sepChr m:val="|"/>
            <m:endChr m:val=")"/>
          </m:dPr>
          <m:e>
            <m:r>
              <w:rPr>
                <w:rFonts w:ascii="Cambria Math" w:hAnsi="Cambria Math"/>
              </w:rPr>
              <m:t xml:space="preserve">ЧПД</m:t>
            </m:r>
          </m:e>
          <m:e>
            <m:r>
              <w:rPr>
                <w:rFonts w:ascii="Cambria Math" w:hAnsi="Cambria Math"/>
              </w:rPr>
              <m:t xml:space="preserve">i</m:t>
            </m:r>
            <m:r>
              <w:rPr>
                <w:rFonts w:ascii="Cambria Math" w:hAnsi="Cambria Math"/>
              </w:rPr>
              <m:t xml:space="preserve">×</m:t>
            </m:r>
            <m:r>
              <w:rPr>
                <w:rFonts w:ascii="Cambria Math" w:hAnsi="Cambria Math"/>
              </w:rPr>
              <m:t xml:space="preserve">ЗПП</m:t>
            </m:r>
            <m:r>
              <w:rPr>
                <w:rFonts w:ascii="Cambria Math" w:hAnsi="Cambria Math"/>
              </w:rPr>
              <m:t xml:space="preserve">×</m:t>
            </m:r>
            <m:r>
              <w:rPr>
                <w:rFonts w:ascii="Cambria Math" w:hAnsi="Cambria Math"/>
              </w:rPr>
              <m:t xml:space="preserve">12</m:t>
            </m:r>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f>
                  <m:fPr>
                    <m:type m:val="lin"/>
                  </m:fPr>
                  <m:num>
                    <m:sSub>
                      <m:e>
                        <m:r>
                          <w:rPr>
                            <w:rFonts w:ascii="Cambria Math" w:hAnsi="Cambria Math"/>
                          </w:rPr>
                          <m:t xml:space="preserve">С</m:t>
                        </m:r>
                      </m:e>
                      <m:sub>
                        <m:r>
                          <w:rPr>
                            <w:rFonts w:ascii="Cambria Math" w:hAnsi="Cambria Math"/>
                          </w:rPr>
                          <m:t xml:space="preserve">ТС</m:t>
                        </m:r>
                      </m:sub>
                    </m:sSub>
                  </m:num>
                  <m:den>
                    <m:r>
                      <w:rPr>
                        <w:rFonts w:ascii="Cambria Math" w:hAnsi="Cambria Math"/>
                      </w:rPr>
                      <m:t xml:space="preserve">100</m:t>
                    </m:r>
                  </m:den>
                </m:f>
              </m:e>
            </m:d>
            <m:r>
              <w:rPr>
                <w:rFonts w:ascii="Cambria Math" w:hAnsi="Cambria Math"/>
              </w:rPr>
              <m:t xml:space="preserve">+</m:t>
            </m:r>
            <m:sSub>
              <m:e>
                <m:r>
                  <w:rPr>
                    <w:rFonts w:ascii="Cambria Math" w:hAnsi="Cambria Math"/>
                  </w:rPr>
                  <m:t xml:space="preserve">ПВ</m:t>
                </m:r>
              </m:e>
              <m:sub>
                <m:r>
                  <w:rPr>
                    <w:rFonts w:ascii="Cambria Math" w:hAnsi="Cambria Math"/>
                  </w:rPr>
                  <m:t xml:space="preserve">i</m:t>
                </m:r>
              </m:sub>
            </m:sSub>
          </m:e>
        </m:d>
        <m:r>
          <w:rPr>
            <w:rFonts w:ascii="Cambria Math" w:hAnsi="Cambria Math"/>
          </w:rPr>
          <m:t xml:space="preserve">×</m:t>
        </m:r>
        <m:sSub>
          <m:e>
            <m:r>
              <w:rPr>
                <w:rFonts w:ascii="Cambria Math" w:hAnsi="Cambria Math"/>
              </w:rPr>
              <m:t xml:space="preserve">М</m:t>
            </m:r>
          </m:e>
          <m:sub>
            <m:r>
              <w:rPr>
                <w:rFonts w:ascii="Cambria Math" w:hAnsi="Cambria Math"/>
              </w:rPr>
              <m:t xml:space="preserve">ti</m:t>
            </m:r>
          </m:sub>
        </m:sSub>
        <m:r>
          <w:rPr>
            <w:rFonts w:ascii="Cambria Math" w:hAnsi="Cambria Math"/>
          </w:rPr>
          <m:t xml:space="preserve">×</m:t>
        </m:r>
        <m:f>
          <m:fPr>
            <m:type m:val="lin"/>
          </m:fPr>
          <m:num>
            <m:sSub>
              <m:e>
                <m:r>
                  <w:rPr>
                    <w:rFonts w:ascii="Cambria Math" w:hAnsi="Cambria Math"/>
                  </w:rPr>
                  <m:t xml:space="preserve">I</m:t>
                </m:r>
              </m:e>
              <m:sub>
                <m:r>
                  <w:rPr>
                    <w:rFonts w:ascii="Cambria Math" w:hAnsi="Cambria Math"/>
                  </w:rPr>
                  <m:t xml:space="preserve">пц</m:t>
                </m:r>
                <m:r>
                  <w:rPr>
                    <w:rFonts w:ascii="Cambria Math" w:hAnsi="Cambria Math"/>
                  </w:rPr>
                  <m:t xml:space="preserve">t</m:t>
                </m:r>
                <m:r>
                  <w:rPr>
                    <w:rFonts w:ascii="Cambria Math" w:hAnsi="Cambria Math"/>
                  </w:rPr>
                  <m:t xml:space="preserve">д</m:t>
                </m:r>
              </m:sub>
            </m:sSub>
          </m:num>
          <m:den>
            <m:sSub>
              <m:e>
                <m:r>
                  <w:rPr>
                    <w:rFonts w:ascii="Cambria Math" w:hAnsi="Cambria Math"/>
                  </w:rPr>
                  <m:t xml:space="preserve">L</m:t>
                </m:r>
              </m:e>
              <m:sub>
                <m:r>
                  <w:rPr>
                    <w:rFonts w:ascii="Cambria Math" w:hAnsi="Cambria Math"/>
                  </w:rPr>
                  <m:t xml:space="preserve">ti</m:t>
                </m:r>
              </m:sub>
            </m:sSub>
          </m:den>
        </m:f>
      </m:oMath>
      <w:r>
        <w:rPr>
          <w:sz w:val="28"/>
          <w:szCs w:val="28"/>
        </w:rPr>
        <w:t>, руб./км (17)</w:t>
      </w:r>
    </w:p>
    <w:p>
      <w:pPr>
        <w:pStyle w:val="ConsPlusNormal"/>
        <w:spacing w:before="0" w:after="0"/>
        <w:ind w:left="0" w:right="0" w:firstLine="709"/>
        <w:jc w:val="both"/>
        <w:rPr>
          <w:i/>
          <w:i/>
          <w:sz w:val="28"/>
          <w:szCs w:val="28"/>
        </w:rPr>
      </w:pPr>
      <w:r>
        <w:rPr>
          <w:i/>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i/>
          <w:iCs/>
          <w:sz w:val="28"/>
          <w:szCs w:val="28"/>
        </w:rPr>
        <w:t>ЧПД</w:t>
      </w:r>
      <w:r>
        <w:rPr>
          <w:i/>
          <w:iCs/>
          <w:sz w:val="28"/>
          <w:szCs w:val="28"/>
          <w:vertAlign w:val="subscript"/>
          <w:lang w:val="en-US"/>
        </w:rPr>
        <w:t>i</w:t>
      </w:r>
      <w:r>
        <w:rPr>
          <w:sz w:val="28"/>
          <w:szCs w:val="28"/>
        </w:rPr>
        <w:t xml:space="preserve"> – удельная численность персонала депо и парков на единицу максимального количества транспортных средств </w:t>
      </w:r>
      <w:r>
        <w:rPr>
          <w:sz w:val="28"/>
          <w:szCs w:val="28"/>
          <w:lang w:val="en-US"/>
        </w:rPr>
        <w:t>i</w:t>
      </w:r>
      <w:r>
        <w:rPr>
          <w:sz w:val="28"/>
          <w:szCs w:val="28"/>
        </w:rPr>
        <w:t>-го класса, одновременно работающих на маршрутах в соответствии с условиями контракта (на единицу выпуска транспортных средств), чел/ед. (принимается равным 1,6);</w:t>
      </w:r>
    </w:p>
    <w:p>
      <w:pPr>
        <w:pStyle w:val="ConsPlusNormal"/>
        <w:spacing w:before="0" w:after="0"/>
        <w:ind w:left="0" w:right="0" w:firstLine="709"/>
        <w:jc w:val="both"/>
        <w:rPr/>
      </w:pPr>
      <w:r>
        <w:rPr>
          <w:i/>
          <w:iCs/>
          <w:sz w:val="28"/>
          <w:szCs w:val="28"/>
        </w:rPr>
        <w:t>ЗПП</w:t>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средняя месячная оплата труда прочего персонала транспортного предприятия (с учетом всех видов премий, надбавок и компенсаций), устанавливаемая на уровне не менее, чем определенном в соответствии с заключенным на территории соответствующего субъекта Российской Федерации, либо муниципального образования региональным, либо территориальным отраслевым соглашением в рамках реализации </w:t>
      </w:r>
      <w:hyperlink r:id="rId205">
        <w:r>
          <w:rPr>
            <w:sz w:val="28"/>
            <w:szCs w:val="28"/>
          </w:rPr>
          <w:t>статей 45</w:t>
        </w:r>
      </w:hyperlink>
      <w:r>
        <w:rPr>
          <w:sz w:val="28"/>
          <w:szCs w:val="28"/>
        </w:rPr>
        <w:t xml:space="preserve"> и </w:t>
      </w:r>
      <w:hyperlink r:id="rId206">
        <w:r>
          <w:rPr>
            <w:sz w:val="28"/>
            <w:szCs w:val="28"/>
          </w:rPr>
          <w:t>48</w:t>
        </w:r>
      </w:hyperlink>
      <w:r>
        <w:rPr>
          <w:sz w:val="28"/>
          <w:szCs w:val="28"/>
        </w:rPr>
        <w:t xml:space="preserve"> Трудового кодекса Российской Федерации, при отсутствии таких соглашений – на уровне не менее, чем определенном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 либо, при отсутствии такого заключенного соглашения - определенная в соответствии с пунктом 16 настоящего приложения, руб.;</w:t>
      </w:r>
    </w:p>
    <w:p>
      <w:pPr>
        <w:pStyle w:val="ConsPlusNormal"/>
        <w:spacing w:before="0" w:after="0"/>
        <w:ind w:left="0" w:right="0" w:firstLine="709"/>
        <w:jc w:val="both"/>
        <w:rPr/>
      </w:pPr>
      <w:r>
        <w:rPr>
          <w:sz w:val="28"/>
          <w:szCs w:val="28"/>
        </w:rPr>
        <w:t xml:space="preserve">12 </w:t>
      </w:r>
      <w:r>
        <w:rPr>
          <w:rFonts w:eastAsia="" w:cs="Times New Roman" w:eastAsiaTheme="minorEastAsia"/>
          <w:color w:val="auto"/>
          <w:kern w:val="0"/>
          <w:sz w:val="28"/>
          <w:szCs w:val="28"/>
          <w:lang w:val="ru-RU" w:eastAsia="ru-RU" w:bidi="ar-SA"/>
        </w:rPr>
        <w:t>−</w:t>
      </w:r>
      <w:r>
        <w:rPr>
          <w:sz w:val="28"/>
          <w:szCs w:val="28"/>
        </w:rPr>
        <w:t xml:space="preserve"> количество месяцев в году;</w:t>
      </w:r>
    </w:p>
    <w:p>
      <w:pPr>
        <w:pStyle w:val="ConsPlusNormal"/>
        <w:spacing w:before="0" w:after="0"/>
        <w:ind w:left="0" w:right="0" w:firstLine="709"/>
        <w:jc w:val="both"/>
        <w:rPr/>
      </w:pPr>
      <w:r>
        <w:rPr>
          <w:i/>
          <w:iCs/>
          <w:sz w:val="28"/>
          <w:szCs w:val="28"/>
        </w:rPr>
        <w:t>С</w:t>
      </w:r>
      <w:r>
        <w:rPr>
          <w:i/>
          <w:iCs/>
          <w:sz w:val="28"/>
          <w:szCs w:val="28"/>
          <w:vertAlign w:val="subscript"/>
        </w:rPr>
        <w:t>ТС</w:t>
      </w:r>
      <w:r>
        <w:rPr>
          <w:sz w:val="28"/>
          <w:szCs w:val="28"/>
          <w:vertAlign w:val="subscript"/>
        </w:rPr>
        <w:t xml:space="preserve"> </w:t>
      </w:r>
      <w:r>
        <w:rPr>
          <w:rFonts w:eastAsia="" w:cs="Times New Roman" w:eastAsiaTheme="minorEastAsia"/>
          <w:color w:val="auto"/>
          <w:kern w:val="0"/>
          <w:sz w:val="28"/>
          <w:szCs w:val="28"/>
          <w:vertAlign w:val="subscript"/>
          <w:lang w:val="ru-RU" w:eastAsia="ru-RU" w:bidi="ar-SA"/>
        </w:rPr>
        <w:t>−</w:t>
      </w:r>
      <w:r>
        <w:rPr>
          <w:sz w:val="28"/>
          <w:szCs w:val="28"/>
        </w:rPr>
        <w:t xml:space="preserve">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 определяемый в соответствии с законодательством Российской Федерации, %;</w:t>
      </w:r>
    </w:p>
    <w:p>
      <w:pPr>
        <w:pStyle w:val="ConsPlusNormal"/>
        <w:spacing w:before="0" w:after="0"/>
        <w:ind w:left="0" w:right="0" w:firstLine="709"/>
        <w:jc w:val="both"/>
        <w:rPr/>
      </w:pPr>
      <w:r>
        <w:rPr>
          <w:i/>
          <w:iCs/>
          <w:sz w:val="28"/>
          <w:szCs w:val="28"/>
        </w:rPr>
        <w:t>ПВ</w:t>
      </w:r>
      <w:r>
        <w:rPr>
          <w:i/>
          <w:iCs/>
          <w:sz w:val="28"/>
          <w:szCs w:val="28"/>
          <w:vertAlign w:val="subscript"/>
          <w:lang w:val="en-US"/>
        </w:rPr>
        <w:t>i</w:t>
      </w:r>
      <w:r>
        <w:rPr>
          <w:sz w:val="28"/>
          <w:szCs w:val="28"/>
        </w:rPr>
        <w:t xml:space="preserve"> – прочие удельные расходы на единицу максимального количества транспортных средств, одновременно работающих на маршрутах (на единицу выпуска транспортных средств), руб./ед. (принимается для одиночных трамвайных вагонов - в соответствии с таблицей 5, для трамвайных поездов – как сумма удельных расходов для каждого из вагонов в составе поезда);</w:t>
      </w:r>
    </w:p>
    <w:p>
      <w:pPr>
        <w:pStyle w:val="ConsPlusNormal"/>
        <w:spacing w:before="0" w:after="0"/>
        <w:ind w:left="0" w:right="0" w:firstLine="709"/>
        <w:jc w:val="both"/>
        <w:rPr/>
      </w:pPr>
      <w:r>
        <w:rPr>
          <w:i/>
          <w:iCs/>
          <w:position w:val="-3"/>
          <w:sz w:val="28"/>
          <w:szCs w:val="28"/>
        </w:rPr>
        <w:t>М</w:t>
      </w:r>
      <w:r>
        <w:rPr>
          <w:i/>
          <w:iCs/>
          <w:position w:val="-3"/>
          <w:sz w:val="28"/>
          <w:szCs w:val="28"/>
          <w:lang w:val="en-US"/>
        </w:rPr>
        <w:t>ti</w:t>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общее максимальное количество транспортных средств i-го класса, одновременно работающих на маршрутах (выпуск транспортных средств в час пик) в соответствии с контрактом на период </w:t>
      </w:r>
      <w:r>
        <w:rPr>
          <w:sz w:val="28"/>
          <w:szCs w:val="28"/>
          <w:lang w:val="en-US"/>
        </w:rPr>
        <w:t>t</w:t>
      </w:r>
      <w:r>
        <w:rPr>
          <w:sz w:val="28"/>
          <w:szCs w:val="28"/>
        </w:rPr>
        <w:t xml:space="preserve"> (может определяться в соответствии с Документом планирования регулярных перевозок по дням недели и периоду суток, для которого установлен минимальный интервал движения), ед.;</w:t>
      </w:r>
    </w:p>
    <w:p>
      <w:pPr>
        <w:pStyle w:val="ConsPlusNormal"/>
        <w:spacing w:before="0" w:after="0"/>
        <w:ind w:left="0" w:right="0" w:firstLine="709"/>
        <w:jc w:val="both"/>
        <w:rPr/>
      </w:pPr>
      <w:r>
        <w:rPr>
          <w:i/>
          <w:iCs/>
          <w:sz w:val="28"/>
          <w:szCs w:val="28"/>
        </w:rPr>
        <w:t xml:space="preserve"> </w:t>
      </w:r>
      <w:r>
        <w:rPr>
          <w:i/>
          <w:iCs/>
          <w:sz w:val="28"/>
          <w:szCs w:val="28"/>
        </w:rPr>
        <w:t>I</w:t>
      </w:r>
      <w:r>
        <w:rPr>
          <w:i/>
          <w:iCs/>
          <w:sz w:val="28"/>
          <w:szCs w:val="28"/>
          <w:vertAlign w:val="subscript"/>
        </w:rPr>
        <w:t xml:space="preserve">пцtd </w:t>
      </w:r>
      <w:r>
        <w:rPr>
          <w:rFonts w:eastAsia="" w:cs="Times New Roman" w:eastAsiaTheme="minorEastAsia"/>
          <w:color w:val="auto"/>
          <w:kern w:val="0"/>
          <w:sz w:val="28"/>
          <w:szCs w:val="28"/>
          <w:lang w:val="ru-RU" w:eastAsia="ru-RU" w:bidi="ar-SA"/>
        </w:rPr>
        <w:t>−</w:t>
      </w:r>
      <w:r>
        <w:rPr>
          <w:sz w:val="28"/>
          <w:szCs w:val="28"/>
        </w:rPr>
        <w:t xml:space="preserve"> индекс потребительских цен для t-ого года срока действия контракта, принимаемый равным произведению определяемых Росстатом индексов потребительских цен за период с декабря 2019 года по период, ближайший к началу срока действия контракта, и прогнозного индекса потребительских цен для каждого года срока действия контракта, определяемого Минэкономразвития России в прогнозе социально-экономического развития Российской Федерации (если срок действия контракта превышает срок прогноза, индекс потребительских цен для каждого года срока действия контракта, не указанного в прогнозе, принимается равным индексу потребительских цен, указанному для последнего года прогноза);</w:t>
      </w:r>
    </w:p>
    <w:p>
      <w:pPr>
        <w:pStyle w:val="ConsPlusNormal"/>
        <w:spacing w:before="0" w:after="0"/>
        <w:ind w:left="0" w:right="0" w:firstLine="709"/>
        <w:jc w:val="both"/>
        <w:rPr/>
      </w:pPr>
      <w:r>
        <w:rPr>
          <w:i/>
          <w:iCs/>
        </w:rPr>
        <w:t>Lti</w:t>
      </w:r>
      <w:r>
        <w:rPr/>
        <w:t xml:space="preserve"> </w:t>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предусмотренный контрактом планируемый пробег транспортных средств i-го класса в t-ом году срока действия контракта (может определяться в соответствии с длиной рейсов и частотой движения по периодам суток и дням недели, установленными Документом планирования регулярных перевозок для каждого из маршрутов, с учетом планируемых изменений трасс и параметров движения в период исполнения контракта), км.</w:t>
      </w:r>
    </w:p>
    <w:p>
      <w:pPr>
        <w:pStyle w:val="ConsPlusNormal"/>
        <w:numPr>
          <w:ilvl w:val="0"/>
          <w:numId w:val="0"/>
        </w:numPr>
        <w:spacing w:before="0" w:after="0"/>
        <w:ind w:left="0" w:right="0" w:firstLine="709"/>
        <w:jc w:val="right"/>
        <w:outlineLvl w:val="2"/>
        <w:rPr/>
      </w:pPr>
      <w:r>
        <w:rPr>
          <w:sz w:val="28"/>
          <w:szCs w:val="28"/>
        </w:rPr>
        <w:t>Таблица 5</w:t>
      </w:r>
    </w:p>
    <w:p>
      <w:pPr>
        <w:pStyle w:val="ConsPlusNormal"/>
        <w:spacing w:before="0" w:after="0"/>
        <w:ind w:left="0" w:right="0" w:firstLine="709"/>
        <w:jc w:val="both"/>
        <w:rPr>
          <w:sz w:val="28"/>
          <w:szCs w:val="28"/>
        </w:rPr>
      </w:pPr>
      <w:r>
        <w:rPr>
          <w:sz w:val="28"/>
          <w:szCs w:val="28"/>
        </w:rPr>
      </w:r>
    </w:p>
    <w:p>
      <w:pPr>
        <w:pStyle w:val="ConsPlusTitle"/>
        <w:widowControl w:val="false"/>
        <w:suppressAutoHyphens w:val="true"/>
        <w:bidi w:val="0"/>
        <w:spacing w:before="0" w:after="0"/>
        <w:ind w:left="0" w:right="0" w:hanging="0"/>
        <w:jc w:val="center"/>
        <w:rPr/>
      </w:pPr>
      <w:r>
        <w:rPr>
          <w:rFonts w:cs="Times New Roman" w:ascii="Times New Roman" w:hAnsi="Times New Roman"/>
          <w:sz w:val="28"/>
          <w:szCs w:val="28"/>
        </w:rPr>
        <w:t>Прочие удельные расходы на единицу выпуска транспортных средств</w:t>
      </w:r>
    </w:p>
    <w:p>
      <w:pPr>
        <w:pStyle w:val="ConsPlusNormal"/>
        <w:spacing w:before="0" w:after="0"/>
        <w:ind w:left="0" w:right="0" w:firstLine="709"/>
        <w:jc w:val="both"/>
        <w:rPr>
          <w:sz w:val="28"/>
          <w:szCs w:val="28"/>
        </w:rPr>
      </w:pPr>
      <w:r>
        <w:rPr>
          <w:sz w:val="28"/>
          <w:szCs w:val="28"/>
        </w:rPr>
      </w:r>
    </w:p>
    <w:tbl>
      <w:tblPr>
        <w:tblW w:w="8115" w:type="dxa"/>
        <w:jc w:val="center"/>
        <w:tblInd w:w="0" w:type="dxa"/>
        <w:tblLayout w:type="fixed"/>
        <w:tblCellMar>
          <w:top w:w="102" w:type="dxa"/>
          <w:left w:w="62" w:type="dxa"/>
          <w:bottom w:w="102" w:type="dxa"/>
          <w:right w:w="62" w:type="dxa"/>
        </w:tblCellMar>
        <w:tblLook w:val="0000" w:noVBand="0" w:noHBand="0" w:lastColumn="0" w:firstColumn="0" w:lastRow="0" w:firstRow="0"/>
      </w:tblPr>
      <w:tblGrid>
        <w:gridCol w:w="3465"/>
        <w:gridCol w:w="4650"/>
      </w:tblGrid>
      <w:tr>
        <w:trPr/>
        <w:tc>
          <w:tcPr>
            <w:tcW w:w="34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60" w:leader="none"/>
              </w:tabs>
              <w:suppressAutoHyphens w:val="true"/>
              <w:bidi w:val="0"/>
              <w:spacing w:before="0" w:after="0"/>
              <w:ind w:left="0" w:right="0" w:hanging="57"/>
              <w:jc w:val="center"/>
              <w:rPr>
                <w:sz w:val="28"/>
                <w:szCs w:val="28"/>
              </w:rPr>
            </w:pPr>
            <w:r>
              <w:rPr>
                <w:sz w:val="28"/>
                <w:szCs w:val="28"/>
              </w:rPr>
              <w:t>Класс трамвайного вагона</w:t>
            </w:r>
          </w:p>
        </w:tc>
        <w:tc>
          <w:tcPr>
            <w:tcW w:w="4650"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ПВ</w:t>
            </w:r>
            <w:r>
              <w:rPr>
                <w:sz w:val="28"/>
                <w:szCs w:val="28"/>
                <w:vertAlign w:val="subscript"/>
                <w:lang w:val="en-US"/>
              </w:rPr>
              <w:t>ti</w:t>
            </w:r>
            <w:r>
              <w:rPr>
                <w:sz w:val="28"/>
                <w:szCs w:val="28"/>
              </w:rPr>
              <w:t>, руб./ед.</w:t>
            </w:r>
          </w:p>
        </w:tc>
      </w:tr>
      <w:tr>
        <w:trPr/>
        <w:tc>
          <w:tcPr>
            <w:tcW w:w="34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60" w:leader="none"/>
              </w:tabs>
              <w:suppressAutoHyphens w:val="true"/>
              <w:bidi w:val="0"/>
              <w:spacing w:before="0" w:after="0"/>
              <w:ind w:left="0" w:right="0" w:hanging="57"/>
              <w:jc w:val="center"/>
              <w:rPr>
                <w:sz w:val="28"/>
                <w:szCs w:val="28"/>
              </w:rPr>
            </w:pPr>
            <w:r>
              <w:rPr>
                <w:sz w:val="28"/>
                <w:szCs w:val="28"/>
              </w:rPr>
              <w:t>Большой</w:t>
            </w:r>
          </w:p>
        </w:tc>
        <w:tc>
          <w:tcPr>
            <w:tcW w:w="465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850 000</w:t>
            </w:r>
          </w:p>
        </w:tc>
      </w:tr>
      <w:tr>
        <w:trPr/>
        <w:tc>
          <w:tcPr>
            <w:tcW w:w="3465"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09"/>
                <w:tab w:val="left" w:pos="60" w:leader="none"/>
              </w:tabs>
              <w:suppressAutoHyphens w:val="true"/>
              <w:bidi w:val="0"/>
              <w:spacing w:before="0" w:after="0"/>
              <w:ind w:left="0" w:right="0" w:hanging="57"/>
              <w:jc w:val="center"/>
              <w:rPr>
                <w:sz w:val="28"/>
                <w:szCs w:val="28"/>
              </w:rPr>
            </w:pPr>
            <w:r>
              <w:rPr>
                <w:sz w:val="28"/>
                <w:szCs w:val="28"/>
              </w:rPr>
              <w:t>Особо большой</w:t>
            </w:r>
          </w:p>
        </w:tc>
        <w:tc>
          <w:tcPr>
            <w:tcW w:w="4650"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hanging="0"/>
              <w:jc w:val="center"/>
              <w:rPr>
                <w:sz w:val="28"/>
                <w:szCs w:val="28"/>
              </w:rPr>
            </w:pPr>
            <w:r>
              <w:rPr>
                <w:sz w:val="28"/>
                <w:szCs w:val="28"/>
              </w:rPr>
              <w:t>1 450 000</w:t>
            </w:r>
          </w:p>
        </w:tc>
      </w:tr>
    </w:tbl>
    <w:p>
      <w:pPr>
        <w:pStyle w:val="Normal"/>
        <w:spacing w:before="0" w:after="0"/>
        <w:ind w:left="0" w:right="0" w:firstLine="709"/>
        <w:rPr>
          <w:rFonts w:cs="Times New Roman"/>
          <w:sz w:val="28"/>
          <w:szCs w:val="28"/>
        </w:rPr>
      </w:pPr>
      <w:r>
        <w:rPr>
          <w:rFonts w:cs="Times New Roman"/>
          <w:sz w:val="28"/>
          <w:szCs w:val="28"/>
        </w:rPr>
      </w:r>
    </w:p>
    <w:p>
      <w:pPr>
        <w:pStyle w:val="ConsPlusNormal"/>
        <w:numPr>
          <w:ilvl w:val="0"/>
          <w:numId w:val="0"/>
        </w:numPr>
        <w:spacing w:before="0" w:after="0"/>
        <w:ind w:left="0" w:right="0" w:firstLine="709"/>
        <w:jc w:val="right"/>
        <w:outlineLvl w:val="1"/>
        <w:rPr>
          <w:sz w:val="28"/>
          <w:szCs w:val="28"/>
        </w:rPr>
      </w:pPr>
      <w:r>
        <w:rPr/>
      </w:r>
    </w:p>
    <w:tbl>
      <w:tblPr>
        <w:tblW w:w="5999" w:type="dxa"/>
        <w:jc w:val="right"/>
        <w:tblInd w:w="0" w:type="dxa"/>
        <w:tblLayout w:type="fixed"/>
        <w:tblCellMar>
          <w:top w:w="55" w:type="dxa"/>
          <w:left w:w="55" w:type="dxa"/>
          <w:bottom w:w="55" w:type="dxa"/>
          <w:right w:w="55" w:type="dxa"/>
        </w:tblCellMar>
      </w:tblPr>
      <w:tblGrid>
        <w:gridCol w:w="5999"/>
      </w:tblGrid>
      <w:tr>
        <w:trPr/>
        <w:tc>
          <w:tcPr>
            <w:tcW w:w="5999" w:type="dxa"/>
            <w:tcBorders/>
          </w:tcPr>
          <w:p>
            <w:pPr>
              <w:pStyle w:val="ConsPlusNormal"/>
              <w:widowControl w:val="false"/>
              <w:numPr>
                <w:ilvl w:val="0"/>
                <w:numId w:val="0"/>
              </w:numPr>
              <w:suppressAutoHyphens w:val="true"/>
              <w:bidi w:val="0"/>
              <w:spacing w:before="0" w:after="0"/>
              <w:ind w:left="0" w:right="0" w:hanging="0"/>
              <w:jc w:val="center"/>
              <w:outlineLvl w:val="1"/>
              <w:rPr/>
            </w:pPr>
            <w:r>
              <w:rPr>
                <w:rFonts w:eastAsia="" w:cs="Times New Roman" w:eastAsiaTheme="minorEastAsia"/>
                <w:color w:val="auto"/>
                <w:kern w:val="0"/>
                <w:sz w:val="28"/>
                <w:szCs w:val="28"/>
                <w:lang w:val="ru-RU" w:eastAsia="ru-RU" w:bidi="ar-SA"/>
              </w:rPr>
              <w:t>ПРИЛОЖЕНИЕ</w:t>
            </w:r>
            <w:r>
              <w:rPr>
                <w:sz w:val="28"/>
                <w:szCs w:val="28"/>
              </w:rPr>
              <w:t xml:space="preserve"> № 3</w:t>
            </w:r>
          </w:p>
          <w:p>
            <w:pPr>
              <w:pStyle w:val="ConsPlusNormal"/>
              <w:widowControl w:val="false"/>
              <w:numPr>
                <w:ilvl w:val="0"/>
                <w:numId w:val="0"/>
              </w:numPr>
              <w:suppressAutoHyphens w:val="true"/>
              <w:bidi w:val="0"/>
              <w:spacing w:before="0" w:after="0"/>
              <w:ind w:left="0" w:right="0" w:hanging="0"/>
              <w:jc w:val="center"/>
              <w:rPr/>
            </w:pPr>
            <w:r>
              <w:rPr>
                <w:sz w:val="28"/>
                <w:szCs w:val="28"/>
              </w:rPr>
              <w:t>к Порядку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p>
        </w:tc>
      </w:tr>
    </w:tbl>
    <w:p>
      <w:pPr>
        <w:pStyle w:val="ConsPlusNormal"/>
        <w:spacing w:before="0" w:after="0"/>
        <w:ind w:left="0" w:right="0" w:firstLine="709"/>
        <w:jc w:val="both"/>
        <w:rPr>
          <w:sz w:val="28"/>
          <w:szCs w:val="28"/>
        </w:rPr>
      </w:pPr>
      <w:r>
        <w:rPr>
          <w:sz w:val="28"/>
          <w:szCs w:val="28"/>
        </w:rPr>
      </w:r>
    </w:p>
    <w:p>
      <w:pPr>
        <w:pStyle w:val="ConsPlusTitle"/>
        <w:widowControl w:val="false"/>
        <w:suppressAutoHyphens w:val="true"/>
        <w:bidi w:val="0"/>
        <w:spacing w:before="0" w:after="0"/>
        <w:ind w:left="0" w:right="0" w:hanging="0"/>
        <w:jc w:val="center"/>
        <w:rPr/>
      </w:pPr>
      <w:bookmarkStart w:id="42" w:name="Par839"/>
      <w:bookmarkEnd w:id="42"/>
      <w:r>
        <w:rPr>
          <w:rFonts w:cs="Times New Roman" w:ascii="Times New Roman" w:hAnsi="Times New Roman"/>
          <w:sz w:val="28"/>
          <w:szCs w:val="28"/>
        </w:rPr>
        <w:t>Расчет максимальной себестоимости 1 км пробега троллейбусов</w:t>
      </w:r>
    </w:p>
    <w:p>
      <w:pPr>
        <w:pStyle w:val="ConsPlusNormal"/>
        <w:spacing w:before="0" w:after="0"/>
        <w:ind w:left="0" w:right="0" w:firstLine="709"/>
        <w:rPr>
          <w:sz w:val="28"/>
          <w:szCs w:val="28"/>
        </w:rPr>
      </w:pPr>
      <w:r>
        <w:rPr>
          <w:sz w:val="28"/>
          <w:szCs w:val="28"/>
        </w:rPr>
      </w:r>
    </w:p>
    <w:p>
      <w:pPr>
        <w:pStyle w:val="ConsPlusNormal"/>
        <w:spacing w:before="0" w:after="0"/>
        <w:ind w:left="0" w:right="0" w:firstLine="709"/>
        <w:jc w:val="both"/>
        <w:rPr/>
      </w:pPr>
      <w:r>
        <w:rPr>
          <w:sz w:val="28"/>
          <w:szCs w:val="28"/>
        </w:rPr>
        <w:t>1. Максимальная себестоимость 1 км пробега транспортных средств i-го класса в t-ый год срока действия контракта (</w:t>
      </w:r>
      <w:r>
        <w:rPr>
          <w:i/>
          <w:iCs/>
          <w:sz w:val="28"/>
          <w:szCs w:val="28"/>
        </w:rPr>
        <w:t>S</w:t>
      </w:r>
      <w:r>
        <w:rPr>
          <w:i/>
          <w:iCs/>
          <w:sz w:val="28"/>
          <w:szCs w:val="28"/>
          <w:vertAlign w:val="subscript"/>
        </w:rPr>
        <w:t>ti</w:t>
      </w:r>
      <w:r>
        <w:rPr>
          <w:sz w:val="28"/>
          <w:szCs w:val="28"/>
        </w:rPr>
        <w:t>) определяется по формуле (1).</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6386195" cy="285115"/>
            <wp:effectExtent l="0" t="0" r="0" b="0"/>
            <wp:docPr id="194" name="Рисунок 2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Рисунок 248" descr=""/>
                    <pic:cNvPicPr>
                      <a:picLocks noChangeAspect="1" noChangeArrowheads="1"/>
                    </pic:cNvPicPr>
                  </pic:nvPicPr>
                  <pic:blipFill>
                    <a:blip r:embed="rId207"/>
                    <a:stretch>
                      <a:fillRect/>
                    </a:stretch>
                  </pic:blipFill>
                  <pic:spPr bwMode="auto">
                    <a:xfrm>
                      <a:off x="0" y="0"/>
                      <a:ext cx="6386195" cy="285115"/>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424180" cy="278130"/>
            <wp:effectExtent l="0" t="0" r="0" b="0"/>
            <wp:docPr id="195" name="Рисунок 2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Рисунок 249" descr=""/>
                    <pic:cNvPicPr>
                      <a:picLocks noChangeAspect="1" noChangeArrowheads="1"/>
                    </pic:cNvPicPr>
                  </pic:nvPicPr>
                  <pic:blipFill>
                    <a:blip r:embed="rId208"/>
                    <a:stretch>
                      <a:fillRect/>
                    </a:stretch>
                  </pic:blipFill>
                  <pic:spPr bwMode="auto">
                    <a:xfrm>
                      <a:off x="0" y="0"/>
                      <a:ext cx="42418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858" w:tgtFrame="2. Расходы на оплату труда водителей транспортных средств i-го класса в t-ый год срока действия контракта в расчете на 1 км пробега (_) определяются по формуле (2).">
        <w:r>
          <w:rPr>
            <w:sz w:val="28"/>
            <w:szCs w:val="28"/>
          </w:rPr>
          <w:t>пунктом 2</w:t>
        </w:r>
      </w:hyperlink>
      <w:r>
        <w:rPr>
          <w:sz w:val="28"/>
          <w:szCs w:val="28"/>
        </w:rPr>
        <w:t xml:space="preserve"> настоящего приложения расходы на оплату труда водителей транспортных средств i-го класса в t-ый год срока действия контракта в расчете на 1 км пробега;</w:t>
      </w:r>
    </w:p>
    <w:p>
      <w:pPr>
        <w:pStyle w:val="ConsPlusNormal"/>
        <w:spacing w:before="0" w:after="0"/>
        <w:ind w:left="0" w:right="0" w:firstLine="709"/>
        <w:jc w:val="both"/>
        <w:rPr/>
      </w:pPr>
      <w:r>
        <w:rPr/>
        <w:drawing>
          <wp:inline distT="0" distB="0" distL="0" distR="0">
            <wp:extent cx="409575" cy="278130"/>
            <wp:effectExtent l="0" t="0" r="0" b="0"/>
            <wp:docPr id="196" name="Рисунок 2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Рисунок 250" descr=""/>
                    <pic:cNvPicPr>
                      <a:picLocks noChangeAspect="1" noChangeArrowheads="1"/>
                    </pic:cNvPicPr>
                  </pic:nvPicPr>
                  <pic:blipFill>
                    <a:blip r:embed="rId209"/>
                    <a:stretch>
                      <a:fillRect/>
                    </a:stretch>
                  </pic:blipFill>
                  <pic:spPr bwMode="auto">
                    <a:xfrm>
                      <a:off x="0" y="0"/>
                      <a:ext cx="40957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925" w:tgtFrame="4. Расходы на оплату труда кондукторов транспортных средств в t-ый год срока действия контракта в расчете на 1 км пробега (_) определяются по формуле (4).">
        <w:r>
          <w:rPr>
            <w:sz w:val="28"/>
            <w:szCs w:val="28"/>
          </w:rPr>
          <w:t>пунктом 4</w:t>
        </w:r>
      </w:hyperlink>
      <w:r>
        <w:rPr>
          <w:sz w:val="28"/>
          <w:szCs w:val="28"/>
        </w:rPr>
        <w:t xml:space="preserve"> настоящего приложения расходы на оплату труда кондукторов транспортных средств в t-ый год срока действия контракта в расчете на 1 км пробега;</w:t>
      </w:r>
    </w:p>
    <w:p>
      <w:pPr>
        <w:pStyle w:val="ConsPlusNormal"/>
        <w:spacing w:before="0" w:after="0"/>
        <w:ind w:left="0" w:right="0" w:firstLine="709"/>
        <w:jc w:val="both"/>
        <w:rPr/>
      </w:pPr>
      <w:r>
        <w:rPr/>
        <w:drawing>
          <wp:inline distT="0" distB="0" distL="0" distR="0">
            <wp:extent cx="336550" cy="278130"/>
            <wp:effectExtent l="0" t="0" r="0" b="0"/>
            <wp:docPr id="197" name="Рисунок 2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Рисунок 251" descr=""/>
                    <pic:cNvPicPr>
                      <a:picLocks noChangeAspect="1" noChangeArrowheads="1"/>
                    </pic:cNvPicPr>
                  </pic:nvPicPr>
                  <pic:blipFill>
                    <a:blip r:embed="rId210"/>
                    <a:stretch>
                      <a:fillRect/>
                    </a:stretch>
                  </pic:blipFill>
                  <pic:spPr bwMode="auto">
                    <a:xfrm>
                      <a:off x="0" y="0"/>
                      <a:ext cx="33655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946" w:tgtFrame="6. Отчисления на социальные нужды от оплаты труда водителей и кондукторов транспортных средств i-го класса в t-ый год срока действия контракта в расчете на 1 км пробега (_) определяются по формуле (6).">
        <w:r>
          <w:rPr>
            <w:sz w:val="28"/>
            <w:szCs w:val="28"/>
          </w:rPr>
          <w:t>пунктом 6</w:t>
        </w:r>
      </w:hyperlink>
      <w:r>
        <w:rPr>
          <w:sz w:val="28"/>
          <w:szCs w:val="28"/>
        </w:rPr>
        <w:t xml:space="preserve"> настоящего приложения отчисления на социальные нужды от оплаты труда водителей и кондукторов транспортных средств i-го класса в t-ый год срока действия контракта в расчете</w:t>
        <w:br/>
        <w:t>на 1 км пробега;</w:t>
      </w:r>
    </w:p>
    <w:p>
      <w:pPr>
        <w:pStyle w:val="ConsPlusNormal"/>
        <w:spacing w:before="0" w:after="0"/>
        <w:ind w:left="0" w:right="0" w:firstLine="709"/>
        <w:jc w:val="both"/>
        <w:rPr/>
      </w:pPr>
      <w:r>
        <w:rPr/>
        <w:drawing>
          <wp:inline distT="0" distB="0" distL="0" distR="0">
            <wp:extent cx="278130" cy="278130"/>
            <wp:effectExtent l="0" t="0" r="0" b="0"/>
            <wp:docPr id="198" name="Рисунок 2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Рисунок 252" descr=""/>
                    <pic:cNvPicPr>
                      <a:picLocks noChangeAspect="1" noChangeArrowheads="1"/>
                    </pic:cNvPicPr>
                  </pic:nvPicPr>
                  <pic:blipFill>
                    <a:blip r:embed="rId211"/>
                    <a:stretch>
                      <a:fillRect/>
                    </a:stretch>
                  </pic:blipFill>
                  <pic:spPr bwMode="auto">
                    <a:xfrm>
                      <a:off x="0" y="0"/>
                      <a:ext cx="27813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954" w:tgtFrame="7. Расходы на электроэнергию на движение транспортных средств i-го класса в t-ом году срока действия контракта в расчете на 1 км пробега (_) определяются по формуле (7).">
        <w:r>
          <w:rPr>
            <w:sz w:val="28"/>
            <w:szCs w:val="28"/>
          </w:rPr>
          <w:t>пунктом 7</w:t>
        </w:r>
      </w:hyperlink>
      <w:r>
        <w:rPr>
          <w:sz w:val="28"/>
          <w:szCs w:val="28"/>
        </w:rPr>
        <w:t xml:space="preserve"> настоящего приложения расходы на электроэнергию на движение транспортных средств i-го класса в t-ом году срока действия контракта в расчете на 1 км пробега;</w:t>
      </w:r>
    </w:p>
    <w:p>
      <w:pPr>
        <w:pStyle w:val="ConsPlusNormal"/>
        <w:spacing w:before="0" w:after="0"/>
        <w:ind w:left="0" w:right="0" w:firstLine="709"/>
        <w:jc w:val="both"/>
        <w:rPr/>
      </w:pPr>
      <w:r>
        <w:rPr/>
        <w:drawing>
          <wp:inline distT="0" distB="0" distL="0" distR="0">
            <wp:extent cx="358140" cy="278130"/>
            <wp:effectExtent l="0" t="0" r="0" b="0"/>
            <wp:docPr id="199" name="Рисунок 2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Рисунок 253" descr=""/>
                    <pic:cNvPicPr>
                      <a:picLocks noChangeAspect="1" noChangeArrowheads="1"/>
                    </pic:cNvPicPr>
                  </pic:nvPicPr>
                  <pic:blipFill>
                    <a:blip r:embed="rId212"/>
                    <a:stretch>
                      <a:fillRect/>
                    </a:stretch>
                  </pic:blipFill>
                  <pic:spPr bwMode="auto">
                    <a:xfrm>
                      <a:off x="0" y="0"/>
                      <a:ext cx="35814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963" w:tgtFrame="8. Расходы на износ и ремонт шин транспортных средств i-го класса в t-ый год срока действия контракта в расчете на 1 км пробега (_) определяются по формуле (8).">
        <w:r>
          <w:rPr>
            <w:sz w:val="28"/>
            <w:szCs w:val="28"/>
          </w:rPr>
          <w:t>пунктом 8</w:t>
        </w:r>
      </w:hyperlink>
      <w:r>
        <w:rPr>
          <w:sz w:val="28"/>
          <w:szCs w:val="28"/>
        </w:rPr>
        <w:t xml:space="preserve"> настоящего приложения расходы на износ и ремонт шин транспортных средств i-го класса в t-ый год срока действия контракта в расчете на 1 км пробега;</w:t>
      </w:r>
    </w:p>
    <w:p>
      <w:pPr>
        <w:pStyle w:val="ConsPlusNormal"/>
        <w:spacing w:before="0" w:after="0"/>
        <w:ind w:left="0" w:right="0" w:firstLine="709"/>
        <w:jc w:val="both"/>
        <w:rPr/>
      </w:pPr>
      <w:r>
        <w:rPr/>
        <w:drawing>
          <wp:inline distT="0" distB="0" distL="0" distR="0">
            <wp:extent cx="365760" cy="278130"/>
            <wp:effectExtent l="0" t="0" r="0" b="0"/>
            <wp:docPr id="200" name="Рисунок 2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Рисунок 254" descr=""/>
                    <pic:cNvPicPr>
                      <a:picLocks noChangeAspect="1" noChangeArrowheads="1"/>
                    </pic:cNvPicPr>
                  </pic:nvPicPr>
                  <pic:blipFill>
                    <a:blip r:embed="rId213"/>
                    <a:stretch>
                      <a:fillRect/>
                    </a:stretch>
                  </pic:blipFill>
                  <pic:spPr bwMode="auto">
                    <a:xfrm>
                      <a:off x="0" y="0"/>
                      <a:ext cx="36576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971" w:tgtFrame="9. Расходы на техническое обслуживание и ремонт транспортных средств i-го класса в t-ый год срока действия контракта в расчете на 1 км пробега (_) определяются по формуле (9).">
        <w:r>
          <w:rPr>
            <w:sz w:val="28"/>
            <w:szCs w:val="28"/>
          </w:rPr>
          <w:t>пунктом 9</w:t>
        </w:r>
      </w:hyperlink>
      <w:r>
        <w:rPr>
          <w:sz w:val="28"/>
          <w:szCs w:val="28"/>
        </w:rPr>
        <w:t xml:space="preserve"> настоящего приложения расходы на техническое обслуживание и ремонт транспортных средств i-го класса в t-ый год срока действия контракта в расчете на 1 км пробега;</w:t>
      </w:r>
    </w:p>
    <w:p>
      <w:pPr>
        <w:pStyle w:val="ConsPlusNormal"/>
        <w:spacing w:before="0" w:after="0"/>
        <w:ind w:left="0" w:right="0" w:firstLine="709"/>
        <w:jc w:val="both"/>
        <w:rPr/>
      </w:pPr>
      <w:r>
        <w:rPr/>
        <w:drawing>
          <wp:inline distT="0" distB="0" distL="0" distR="0">
            <wp:extent cx="314325" cy="278130"/>
            <wp:effectExtent l="0" t="0" r="0" b="0"/>
            <wp:docPr id="201" name="Рисунок 2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Рисунок 255" descr=""/>
                    <pic:cNvPicPr>
                      <a:picLocks noChangeAspect="1" noChangeArrowheads="1"/>
                    </pic:cNvPicPr>
                  </pic:nvPicPr>
                  <pic:blipFill>
                    <a:blip r:embed="rId214"/>
                    <a:stretch>
                      <a:fillRect/>
                    </a:stretch>
                  </pic:blipFill>
                  <pic:spPr bwMode="auto">
                    <a:xfrm>
                      <a:off x="0" y="0"/>
                      <a:ext cx="31432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1045" w:tgtFrame="13. Расходы на содержание контактно-кабельной сети в t-ом году срока действия контракта в расчете на 1 км пробега (_) определяются по формуле (13).">
        <w:r>
          <w:rPr>
            <w:sz w:val="28"/>
            <w:szCs w:val="28"/>
          </w:rPr>
          <w:t>пунктом 13</w:t>
        </w:r>
      </w:hyperlink>
      <w:r>
        <w:rPr>
          <w:sz w:val="28"/>
          <w:szCs w:val="28"/>
        </w:rPr>
        <w:t xml:space="preserve"> настоящего приложения расходы на содержание контактно-кабельной сети в t-ом году срока действия контракта в расчете на 1 км пробега;</w:t>
      </w:r>
    </w:p>
    <w:p>
      <w:pPr>
        <w:pStyle w:val="ConsPlusNormal"/>
        <w:spacing w:before="0" w:after="0"/>
        <w:ind w:left="0" w:right="0" w:firstLine="709"/>
        <w:jc w:val="both"/>
        <w:rPr/>
      </w:pPr>
      <w:r>
        <w:rPr/>
        <w:drawing>
          <wp:inline distT="0" distB="0" distL="0" distR="0">
            <wp:extent cx="336550" cy="278130"/>
            <wp:effectExtent l="0" t="0" r="0" b="0"/>
            <wp:docPr id="202" name="Рисунок 2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Рисунок 256" descr=""/>
                    <pic:cNvPicPr>
                      <a:picLocks noChangeAspect="1" noChangeArrowheads="1"/>
                    </pic:cNvPicPr>
                  </pic:nvPicPr>
                  <pic:blipFill>
                    <a:blip r:embed="rId215"/>
                    <a:stretch>
                      <a:fillRect/>
                    </a:stretch>
                  </pic:blipFill>
                  <pic:spPr bwMode="auto">
                    <a:xfrm>
                      <a:off x="0" y="0"/>
                      <a:ext cx="33655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1102" w:tgtFrame="14. Расходы на содержание тяговых подстанций в t-ом году срока действия контракта в расчете на 1 км пробега (_) определяются по формуле (14).">
        <w:r>
          <w:rPr>
            <w:sz w:val="28"/>
            <w:szCs w:val="28"/>
          </w:rPr>
          <w:t>пунктом 14</w:t>
        </w:r>
      </w:hyperlink>
      <w:r>
        <w:rPr>
          <w:sz w:val="28"/>
          <w:szCs w:val="28"/>
        </w:rPr>
        <w:t xml:space="preserve"> настоящего приложения расходы на содержание тяговых подстанций в t-ом году срока действия контракта в расчете на 1 км пробега;</w:t>
      </w:r>
    </w:p>
    <w:p>
      <w:pPr>
        <w:pStyle w:val="ConsPlusNormal"/>
        <w:spacing w:before="0" w:after="0"/>
        <w:ind w:left="0" w:right="0" w:firstLine="709"/>
        <w:jc w:val="both"/>
        <w:rPr/>
      </w:pPr>
      <w:r>
        <w:rPr/>
        <w:drawing>
          <wp:inline distT="0" distB="0" distL="0" distR="0">
            <wp:extent cx="358140" cy="285115"/>
            <wp:effectExtent l="0" t="0" r="0" b="0"/>
            <wp:docPr id="203" name="Рисунок 2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Рисунок 257" descr=""/>
                    <pic:cNvPicPr>
                      <a:picLocks noChangeAspect="1" noChangeArrowheads="1"/>
                    </pic:cNvPicPr>
                  </pic:nvPicPr>
                  <pic:blipFill>
                    <a:blip r:embed="rId216"/>
                    <a:stretch>
                      <a:fillRect/>
                    </a:stretch>
                  </pic:blipFill>
                  <pic:spPr bwMode="auto">
                    <a:xfrm>
                      <a:off x="0" y="0"/>
                      <a:ext cx="358140"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1112" w:tgtFrame="15. Расходы на содержание службы движения в t-ом году срока действия контракта в расчете на 1 км пробега (_) определяются по формуле (15).">
        <w:r>
          <w:rPr>
            <w:sz w:val="28"/>
            <w:szCs w:val="28"/>
          </w:rPr>
          <w:t>пунктом 15</w:t>
        </w:r>
      </w:hyperlink>
      <w:r>
        <w:rPr>
          <w:sz w:val="28"/>
          <w:szCs w:val="28"/>
        </w:rPr>
        <w:t xml:space="preserve"> настоящего приложения расходы на содержание службы движения в t-ом году срока действия контракта в расчете на 1 км пробега;</w:t>
      </w:r>
    </w:p>
    <w:p>
      <w:pPr>
        <w:pStyle w:val="ConsPlusNormal"/>
        <w:spacing w:before="0" w:after="0"/>
        <w:ind w:left="0" w:right="0" w:firstLine="709"/>
        <w:jc w:val="both"/>
        <w:rPr/>
      </w:pPr>
      <w:r>
        <w:rPr/>
        <w:drawing>
          <wp:inline distT="0" distB="0" distL="0" distR="0">
            <wp:extent cx="497205" cy="278130"/>
            <wp:effectExtent l="0" t="0" r="0" b="0"/>
            <wp:docPr id="204" name="Рисунок 2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Рисунок 258" descr=""/>
                    <pic:cNvPicPr>
                      <a:picLocks noChangeAspect="1" noChangeArrowheads="1"/>
                    </pic:cNvPicPr>
                  </pic:nvPicPr>
                  <pic:blipFill>
                    <a:blip r:embed="rId217"/>
                    <a:stretch>
                      <a:fillRect/>
                    </a:stretch>
                  </pic:blipFill>
                  <pic:spPr bwMode="auto">
                    <a:xfrm>
                      <a:off x="0" y="0"/>
                      <a:ext cx="49720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1123" w:tgtFrame="16. Прочие расходы по обычным видам деятельности в сумме с косвенными расходами для транспортного средства i-го класса в t-ом году срока действия контракта в расчете на 1 км пробега (_) определяются по формуле (16).">
        <w:r>
          <w:rPr>
            <w:sz w:val="28"/>
            <w:szCs w:val="28"/>
          </w:rPr>
          <w:t>пунктом 16</w:t>
        </w:r>
      </w:hyperlink>
      <w:r>
        <w:rPr>
          <w:sz w:val="28"/>
          <w:szCs w:val="28"/>
        </w:rPr>
        <w:t xml:space="preserve"> настоящего приложения прочие расходы по обычным видам деятельности в сумме с косвенными расходами для транспортного средства i-го класса в t-ом году срока действия контракта в расчете на 1 км пробега.</w:t>
      </w:r>
    </w:p>
    <w:p>
      <w:pPr>
        <w:pStyle w:val="ConsPlusNormal"/>
        <w:spacing w:before="0" w:after="0"/>
        <w:ind w:left="0" w:right="0" w:firstLine="709"/>
        <w:jc w:val="both"/>
        <w:rPr/>
      </w:pPr>
      <w:r>
        <w:rPr>
          <w:sz w:val="28"/>
          <w:szCs w:val="28"/>
        </w:rPr>
        <w:t>Каждое из слагаемых формулы (1) включается в состав себестоимости пробега по контракту только в случае, если контрактом на перевозчика возлагается обязанность выполнять соответствующий вид деятельности. При расчете каждого слагаемого необходимо учитывать период, в течение которого на перевозчика возложена соответствующая обязанность.</w:t>
      </w:r>
    </w:p>
    <w:p>
      <w:pPr>
        <w:pStyle w:val="ConsPlusNormal"/>
        <w:spacing w:before="0" w:after="0"/>
        <w:ind w:left="0" w:right="0" w:firstLine="709"/>
        <w:jc w:val="both"/>
        <w:rPr/>
      </w:pPr>
      <w:bookmarkStart w:id="43" w:name="Par858"/>
      <w:bookmarkEnd w:id="43"/>
      <w:r>
        <w:rPr>
          <w:sz w:val="28"/>
          <w:szCs w:val="28"/>
        </w:rPr>
        <w:t>2. Расходы на оплату труда водителей транспортных средств i-го класса в t-ый год срока действия контракта в расчете на 1 км пробега (</w:t>
      </w:r>
      <w:r>
        <w:rPr>
          <w:i/>
          <w:iCs/>
          <w:sz w:val="28"/>
          <w:szCs w:val="28"/>
        </w:rPr>
        <w:t>Р</w:t>
      </w:r>
      <w:r>
        <w:rPr>
          <w:i/>
          <w:iCs/>
          <w:sz w:val="28"/>
          <w:szCs w:val="28"/>
          <w:vertAlign w:val="subscript"/>
        </w:rPr>
        <w:t>ОТВti</w:t>
      </w:r>
      <w:r>
        <w:rPr>
          <w:sz w:val="28"/>
          <w:szCs w:val="28"/>
        </w:rPr>
        <w:t>) определяются</w:t>
        <w:br/>
        <w:t>по формуле (2).</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r>
      <m:oMath xmlns:m="http://schemas.openxmlformats.org/officeDocument/2006/math">
        <m:sSub>
          <m:e>
            <m:r>
              <w:rPr>
                <w:rFonts w:ascii="Cambria Math" w:hAnsi="Cambria Math"/>
              </w:rPr>
              <m:t xml:space="preserve">P</m:t>
            </m:r>
          </m:e>
          <m:sub>
            <m:r>
              <w:rPr>
                <w:rFonts w:ascii="Cambria Math" w:hAnsi="Cambria Math"/>
              </w:rPr>
              <m:t xml:space="preserve">ОТВ</m:t>
            </m:r>
            <m:r>
              <w:rPr>
                <w:rFonts w:ascii="Cambria Math" w:hAnsi="Cambria Math"/>
              </w:rPr>
              <m:t xml:space="preserve">ti</m:t>
            </m:r>
          </m:sub>
        </m:sSub>
        <m:r>
          <w:rPr>
            <w:rFonts w:ascii="Cambria Math" w:hAnsi="Cambria Math"/>
          </w:rPr>
          <m:t xml:space="preserve">=</m:t>
        </m:r>
        <m:f>
          <m:num>
            <m:r>
              <w:rPr>
                <w:rFonts w:ascii="Cambria Math" w:hAnsi="Cambria Math"/>
              </w:rPr>
              <m:t xml:space="preserve">12</m:t>
            </m:r>
            <m:r>
              <w:rPr>
                <w:rFonts w:ascii="Cambria Math" w:hAnsi="Cambria Math"/>
              </w:rPr>
              <m:t xml:space="preserve">×</m:t>
            </m:r>
            <m:sSub>
              <m:e>
                <m:r>
                  <w:rPr>
                    <w:rFonts w:ascii="Cambria Math" w:hAnsi="Cambria Math"/>
                  </w:rPr>
                  <m:t xml:space="preserve">ЗПВ</m:t>
                </m:r>
              </m:e>
              <m:sub>
                <m:r>
                  <w:rPr>
                    <w:rFonts w:ascii="Cambria Math" w:hAnsi="Cambria Math"/>
                  </w:rPr>
                  <m:t xml:space="preserve">i</m:t>
                </m:r>
              </m:sub>
            </m:sSub>
          </m:num>
          <m:den>
            <m:sSub>
              <m:e>
                <m:r>
                  <w:rPr>
                    <w:rFonts w:ascii="Cambria Math" w:hAnsi="Cambria Math"/>
                  </w:rPr>
                  <m:t xml:space="preserve">ФРВ</m:t>
                </m:r>
              </m:e>
              <m:sub>
                <m:r>
                  <w:rPr>
                    <w:rFonts w:ascii="Cambria Math" w:hAnsi="Cambria Math"/>
                  </w:rPr>
                  <m:t xml:space="preserve">в</m:t>
                </m:r>
              </m:sub>
            </m:sSub>
          </m:den>
        </m:f>
        <m:r>
          <w:rPr>
            <w:rFonts w:ascii="Cambria Math" w:hAnsi="Cambria Math"/>
          </w:rPr>
          <m:t xml:space="preserve">×</m:t>
        </m:r>
        <m:sSub>
          <m:e>
            <m:r>
              <w:rPr>
                <w:rFonts w:ascii="Cambria Math" w:hAnsi="Cambria Math"/>
              </w:rPr>
              <m:t xml:space="preserve">АЧ</m:t>
            </m:r>
          </m:e>
          <m:sub>
            <m:r>
              <w:rPr>
                <w:rFonts w:ascii="Cambria Math" w:hAnsi="Cambria Math"/>
              </w:rPr>
              <m:t xml:space="preserve">ti</m:t>
            </m:r>
          </m:sub>
        </m:sSub>
        <m:r>
          <w:rPr>
            <w:rFonts w:ascii="Cambria Math" w:hAnsi="Cambria Math"/>
          </w:rPr>
          <m:t xml:space="preserve">×</m:t>
        </m:r>
        <m:sSub>
          <m:e>
            <m:r>
              <w:rPr>
                <w:rFonts w:ascii="Cambria Math" w:hAnsi="Cambria Math"/>
              </w:rPr>
              <m:t xml:space="preserve">k</m:t>
            </m:r>
          </m:e>
          <m:sub>
            <m:r>
              <w:rPr>
                <w:rFonts w:ascii="Cambria Math" w:hAnsi="Cambria Math"/>
              </w:rPr>
              <m:t xml:space="preserve">пз</m:t>
            </m:r>
          </m:sub>
        </m:sSub>
        <m:r>
          <w:rPr>
            <w:rFonts w:ascii="Cambria Math" w:hAnsi="Cambria Math"/>
          </w:rPr>
          <m:t xml:space="preserve">×</m:t>
        </m:r>
        <m:f>
          <m:fPr>
            <m:type m:val="lin"/>
          </m:fPr>
          <m:num>
            <m:sSub>
              <m:e>
                <m:r>
                  <w:rPr>
                    <w:rFonts w:ascii="Cambria Math" w:hAnsi="Cambria Math"/>
                  </w:rPr>
                  <m:t xml:space="preserve">I</m:t>
                </m:r>
              </m:e>
              <m:sub>
                <m:r>
                  <w:rPr>
                    <w:rFonts w:ascii="Cambria Math" w:hAnsi="Cambria Math"/>
                  </w:rPr>
                  <m:t xml:space="preserve">пц</m:t>
                </m:r>
                <m:r>
                  <w:rPr>
                    <w:rFonts w:ascii="Cambria Math" w:hAnsi="Cambria Math"/>
                  </w:rPr>
                  <m:t xml:space="preserve">t</m:t>
                </m:r>
              </m:sub>
            </m:sSub>
          </m:num>
          <m:den>
            <m:sSub>
              <m:e>
                <m:r>
                  <w:rPr>
                    <w:rFonts w:ascii="Cambria Math" w:hAnsi="Cambria Math"/>
                  </w:rPr>
                  <m:t xml:space="preserve">L</m:t>
                </m:r>
              </m:e>
              <m:sub>
                <m:r>
                  <w:rPr>
                    <w:rFonts w:ascii="Cambria Math" w:hAnsi="Cambria Math"/>
                  </w:rPr>
                  <m:t xml:space="preserve">ti</m:t>
                </m:r>
              </m:sub>
            </m:sSub>
          </m:den>
        </m:f>
      </m:oMath>
      <w:r>
        <w:rPr>
          <w:sz w:val="28"/>
          <w:szCs w:val="28"/>
        </w:rPr>
        <w:t>, руб./км (2)</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sz w:val="28"/>
          <w:szCs w:val="28"/>
        </w:rPr>
        <w:t xml:space="preserve">12 </w:t>
      </w:r>
      <w:r>
        <w:rPr>
          <w:rFonts w:eastAsia="" w:cs="Times New Roman" w:eastAsiaTheme="minorEastAsia"/>
          <w:color w:val="auto"/>
          <w:kern w:val="0"/>
          <w:sz w:val="28"/>
          <w:szCs w:val="28"/>
          <w:lang w:val="ru-RU" w:eastAsia="ru-RU" w:bidi="ar-SA"/>
        </w:rPr>
        <w:t>−</w:t>
      </w:r>
      <w:r>
        <w:rPr>
          <w:sz w:val="28"/>
          <w:szCs w:val="28"/>
        </w:rPr>
        <w:t xml:space="preserve"> количество месяцев в году;</w:t>
      </w:r>
    </w:p>
    <w:p>
      <w:pPr>
        <w:pStyle w:val="ConsPlusNormal"/>
        <w:spacing w:before="0" w:after="0"/>
        <w:ind w:left="0" w:right="0" w:firstLine="709"/>
        <w:jc w:val="both"/>
        <w:rPr/>
      </w:pPr>
      <w:r>
        <w:rPr/>
        <w:drawing>
          <wp:inline distT="0" distB="0" distL="0" distR="0">
            <wp:extent cx="424180" cy="278130"/>
            <wp:effectExtent l="0" t="0" r="0" b="0"/>
            <wp:docPr id="20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Рисунок 5" descr=""/>
                    <pic:cNvPicPr>
                      <a:picLocks noChangeAspect="1" noChangeArrowheads="1"/>
                    </pic:cNvPicPr>
                  </pic:nvPicPr>
                  <pic:blipFill>
                    <a:blip r:embed="rId148"/>
                    <a:stretch>
                      <a:fillRect/>
                    </a:stretch>
                  </pic:blipFill>
                  <pic:spPr bwMode="auto">
                    <a:xfrm>
                      <a:off x="0" y="0"/>
                      <a:ext cx="42418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средняя месячная оплата труда водителя троллейбуса i-го класса (с учетом всех видов премий, надбавок и компенсаций), устанавливаемая на уровне не менее, чем определенном в соответствии с заключенным на территории соответствующего субъекта Российской Федерации, либо муниципального образования региональным, либо территориальным отраслевым соглашением в рамках реализации </w:t>
      </w:r>
      <w:hyperlink r:id="rId218">
        <w:r>
          <w:rPr>
            <w:sz w:val="28"/>
            <w:szCs w:val="28"/>
          </w:rPr>
          <w:t>статей 45</w:t>
        </w:r>
      </w:hyperlink>
      <w:r>
        <w:rPr>
          <w:sz w:val="28"/>
          <w:szCs w:val="28"/>
        </w:rPr>
        <w:t xml:space="preserve"> и </w:t>
      </w:r>
      <w:hyperlink r:id="rId219">
        <w:r>
          <w:rPr>
            <w:sz w:val="28"/>
            <w:szCs w:val="28"/>
          </w:rPr>
          <w:t>48</w:t>
        </w:r>
      </w:hyperlink>
      <w:r>
        <w:rPr>
          <w:sz w:val="28"/>
          <w:szCs w:val="28"/>
        </w:rPr>
        <w:t xml:space="preserve"> Трудового кодекса Российской Федерации, при отсутствии таких соглашений – на уровне не менее, чем определенном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 либо, при отсутствии такого заключенного соглашения - определенная в соответствии с пунктом 3 настоящего приложения;</w:t>
      </w:r>
    </w:p>
    <w:p>
      <w:pPr>
        <w:pStyle w:val="ConsPlusNormal"/>
        <w:spacing w:before="0" w:after="0"/>
        <w:ind w:left="0" w:right="0" w:firstLine="709"/>
        <w:jc w:val="both"/>
        <w:rPr/>
      </w:pPr>
      <w:r>
        <w:rPr>
          <w:i/>
          <w:iCs/>
        </w:rPr>
        <w:t>АЧ</w:t>
      </w:r>
      <w:r>
        <w:rPr>
          <w:i/>
          <w:iCs/>
          <w:sz w:val="28"/>
          <w:szCs w:val="28"/>
          <w:vertAlign w:val="subscript"/>
        </w:rPr>
        <w:t>ti</w:t>
      </w:r>
      <w:r>
        <w:rPr>
          <w:sz w:val="28"/>
          <w:szCs w:val="28"/>
        </w:rPr>
        <w:t xml:space="preserve"> - планируемое количество часов работы троллейбусов i-го класса в t-ом году срока действия контракта (может определяться в соответствии с временем пробега по маршруту и частотой движения по периодам суток и дням недели, установленными Документом планирования регулярных перевозок для каждого из маршрутов, с учетом изменений планового времени пробега в период действия контракта при вводе выделенных полос транспорта общего пользования, иных мер по созданию приоритетных условий движения транспорта общего пользования), час.;</w:t>
      </w:r>
    </w:p>
    <w:p>
      <w:pPr>
        <w:pStyle w:val="ConsPlusNormal"/>
        <w:spacing w:before="0" w:after="0"/>
        <w:ind w:left="0" w:right="0" w:firstLine="709"/>
        <w:jc w:val="both"/>
        <w:rPr/>
      </w:pPr>
      <w:r>
        <w:rPr/>
        <w:drawing>
          <wp:inline distT="0" distB="0" distL="0" distR="0">
            <wp:extent cx="248920" cy="278130"/>
            <wp:effectExtent l="0" t="0" r="0" b="0"/>
            <wp:docPr id="206" name="Рисунок 1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Рисунок 162" descr=""/>
                    <pic:cNvPicPr>
                      <a:picLocks noChangeAspect="1" noChangeArrowheads="1"/>
                    </pic:cNvPicPr>
                  </pic:nvPicPr>
                  <pic:blipFill>
                    <a:blip r:embed="rId152"/>
                    <a:stretch>
                      <a:fillRect/>
                    </a:stretch>
                  </pic:blipFill>
                  <pic:spPr bwMode="auto">
                    <a:xfrm>
                      <a:off x="0" y="0"/>
                      <a:ext cx="24892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коэффициент, характеризующий продолжительность подготовительно-заключительного времени, времени прохождения предрейсовых инструктажей и медицинских осмотров водителя (при использовании автоматизированной системы контроля за оплатой проезда с оборудованием, ежедневно устанавливаемым и демонтируемым водителем на транспортные средства, принимается равным 1,08, в иных случаях - 1,06);</w:t>
      </w:r>
    </w:p>
    <w:p>
      <w:pPr>
        <w:pStyle w:val="ConsPlusNormal"/>
        <w:spacing w:before="0" w:after="0"/>
        <w:ind w:left="0" w:right="0" w:firstLine="709"/>
        <w:jc w:val="both"/>
        <w:rPr/>
      </w:pPr>
      <w:r>
        <w:rPr/>
        <w:drawing>
          <wp:inline distT="0" distB="0" distL="0" distR="0">
            <wp:extent cx="278130" cy="285115"/>
            <wp:effectExtent l="0" t="0" r="0" b="0"/>
            <wp:docPr id="207" name="Рисунок 2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Рисунок 264" descr=""/>
                    <pic:cNvPicPr>
                      <a:picLocks noChangeAspect="1" noChangeArrowheads="1"/>
                    </pic:cNvPicPr>
                  </pic:nvPicPr>
                  <pic:blipFill>
                    <a:blip r:embed="rId220"/>
                    <a:stretch>
                      <a:fillRect/>
                    </a:stretch>
                  </pic:blipFill>
                  <pic:spPr bwMode="auto">
                    <a:xfrm>
                      <a:off x="0" y="0"/>
                      <a:ext cx="278130"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индекс потребительских цен для t-ого года срока действия контракта, принимаемый в соответствии с публикуемыми Минэкономразвития России прогнозами социально-экономического развития Российской Федерации (если срок действия контракта превышает срок прогноза, индекс потребительских цен для каждого года срока действия контракта, не указанного в прогнозе, принимается равным индексу потребительских цен, указанному для последнего года прогноза);</w:t>
      </w:r>
    </w:p>
    <w:p>
      <w:pPr>
        <w:pStyle w:val="ConsPlusNormal"/>
        <w:spacing w:before="0" w:after="0"/>
        <w:ind w:left="0" w:right="0" w:firstLine="709"/>
        <w:jc w:val="both"/>
        <w:rPr/>
      </w:pPr>
      <w:r>
        <w:rPr/>
        <w:drawing>
          <wp:inline distT="0" distB="0" distL="0" distR="0">
            <wp:extent cx="219710" cy="278130"/>
            <wp:effectExtent l="0" t="0" r="0" b="0"/>
            <wp:docPr id="208" name="Рисунок 1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Рисунок 163" descr=""/>
                    <pic:cNvPicPr>
                      <a:picLocks noChangeAspect="1" noChangeArrowheads="1"/>
                    </pic:cNvPicPr>
                  </pic:nvPicPr>
                  <pic:blipFill>
                    <a:blip r:embed="rId154"/>
                    <a:stretch>
                      <a:fillRect/>
                    </a:stretch>
                  </pic:blipFill>
                  <pic:spPr bwMode="auto">
                    <a:xfrm>
                      <a:off x="0" y="0"/>
                      <a:ext cx="21971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предусмотренный контрактом планируемый пробег транспортных средств i-го класса в t-ом году срока действия контракта (может определяться в соответствии с длиной рейсов и частотой движения по периодам суток и дням недели, установленными Документом планирования регулярных перевозок для каждого из маршрутов, с учетом планируемых изменений трасс и параметров движения в период исполнения контракта), км;</w:t>
      </w:r>
    </w:p>
    <w:p>
      <w:pPr>
        <w:pStyle w:val="ConsPlusNormal"/>
        <w:spacing w:before="0" w:after="0"/>
        <w:ind w:left="0" w:right="0" w:firstLine="709"/>
        <w:jc w:val="both"/>
        <w:rPr/>
      </w:pPr>
      <w:r>
        <w:rPr/>
        <w:drawing>
          <wp:inline distT="0" distB="0" distL="0" distR="0">
            <wp:extent cx="461010" cy="278130"/>
            <wp:effectExtent l="0" t="0" r="0" b="0"/>
            <wp:docPr id="209" name="Рисунок 1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Рисунок 164" descr=""/>
                    <pic:cNvPicPr>
                      <a:picLocks noChangeAspect="1" noChangeArrowheads="1"/>
                    </pic:cNvPicPr>
                  </pic:nvPicPr>
                  <pic:blipFill>
                    <a:blip r:embed="rId155"/>
                    <a:stretch>
                      <a:fillRect/>
                    </a:stretch>
                  </pic:blipFill>
                  <pic:spPr bwMode="auto">
                    <a:xfrm>
                      <a:off x="0" y="0"/>
                      <a:ext cx="46101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годовой фонд рабочего времени водителя транспортных средств при соблюдении нормальной, 40 часовой, продолжительности рабочего времени в неделю, с учетом ежегодного отпуска 28 календарных дней и обязательного дополнительно предоставляемого водителям отпуска 7 календарных дней (принимается равным 1772 часа).</w:t>
      </w:r>
    </w:p>
    <w:p>
      <w:pPr>
        <w:pStyle w:val="ConsPlusNormal"/>
        <w:spacing w:before="0" w:after="0"/>
        <w:ind w:left="0" w:right="0" w:firstLine="709"/>
        <w:jc w:val="both"/>
        <w:rPr/>
      </w:pPr>
      <w:r>
        <w:rPr>
          <w:sz w:val="28"/>
          <w:szCs w:val="28"/>
        </w:rPr>
        <w:t xml:space="preserve">3. При отсутствии на территории соответствующего субъекта Российской Федерации либо муниципального образования регионального либо территориального отраслевого соглашения, заключенного в рамках реализации </w:t>
      </w:r>
      <w:hyperlink r:id="rId221">
        <w:r>
          <w:rPr>
            <w:sz w:val="28"/>
            <w:szCs w:val="28"/>
          </w:rPr>
          <w:t>статей 45</w:t>
        </w:r>
      </w:hyperlink>
      <w:r>
        <w:rPr>
          <w:sz w:val="28"/>
          <w:szCs w:val="28"/>
        </w:rPr>
        <w:t xml:space="preserve"> и </w:t>
      </w:r>
      <w:hyperlink r:id="rId222">
        <w:r>
          <w:rPr>
            <w:sz w:val="28"/>
            <w:szCs w:val="28"/>
          </w:rPr>
          <w:t>48</w:t>
        </w:r>
      </w:hyperlink>
      <w:r>
        <w:rPr>
          <w:sz w:val="28"/>
          <w:szCs w:val="28"/>
        </w:rPr>
        <w:t xml:space="preserve"> Трудового кодекса Российской Федерации и Федерального отраслевого </w:t>
      </w:r>
      <w:hyperlink r:id="rId223">
        <w:r>
          <w:rPr>
            <w:sz w:val="28"/>
            <w:szCs w:val="28"/>
          </w:rPr>
          <w:t>соглашения</w:t>
        </w:r>
      </w:hyperlink>
      <w:r>
        <w:rPr>
          <w:sz w:val="28"/>
          <w:szCs w:val="28"/>
        </w:rPr>
        <w:t xml:space="preserve"> по автомобильному и городскому наземному пассажирскому транспорту или Отраслевого </w:t>
      </w:r>
      <w:hyperlink r:id="rId224">
        <w:r>
          <w:rPr>
            <w:sz w:val="28"/>
            <w:szCs w:val="28"/>
          </w:rPr>
          <w:t>соглашения</w:t>
        </w:r>
      </w:hyperlink>
      <w:r>
        <w:rPr>
          <w:sz w:val="28"/>
          <w:szCs w:val="28"/>
        </w:rPr>
        <w:t xml:space="preserve"> по организациям наземного городского электрического транспорта Российской Федерации, средняя месячная оплата труда водителя троллейбуса i-го класса (с учетом всех видов премий, надбавок и компенсаций) выбирается наибольшая из определенной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 (для водителей троллейбуса соответствующего класса), либо определяется по формуле (3).</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2757805" cy="278130"/>
            <wp:effectExtent l="0" t="0" r="0" b="0"/>
            <wp:docPr id="210" name="Рисунок 1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Рисунок 165" descr=""/>
                    <pic:cNvPicPr>
                      <a:picLocks noChangeAspect="1" noChangeArrowheads="1"/>
                    </pic:cNvPicPr>
                  </pic:nvPicPr>
                  <pic:blipFill>
                    <a:blip r:embed="rId69"/>
                    <a:stretch>
                      <a:fillRect/>
                    </a:stretch>
                  </pic:blipFill>
                  <pic:spPr bwMode="auto">
                    <a:xfrm>
                      <a:off x="0" y="0"/>
                      <a:ext cx="2757805" cy="278130"/>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409575" cy="219710"/>
            <wp:effectExtent l="0" t="0" r="0" b="0"/>
            <wp:docPr id="211" name="Рисунок 2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Рисунок 268" descr=""/>
                    <pic:cNvPicPr>
                      <a:picLocks noChangeAspect="1" noChangeArrowheads="1"/>
                    </pic:cNvPicPr>
                  </pic:nvPicPr>
                  <pic:blipFill>
                    <a:blip r:embed="rId225"/>
                    <a:stretch>
                      <a:fillRect/>
                    </a:stretch>
                  </pic:blipFill>
                  <pic:spPr bwMode="auto">
                    <a:xfrm>
                      <a:off x="0" y="0"/>
                      <a:ext cx="409575" cy="21971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(для муниципальных маршрутов в границах поселения,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административно-территориальных единиц субъекта Российской Федерации, для муниципальных маршрутов в границах субъектов Российской Федерации - городов федерального значения Москвы, Санкт-Петербурга или Севастополя в соответствии с данными Росстата в отношении указанных субъектов Российской Федерации, для межмуниципальных маршрутов в границах субъекта Российской Федерации - в соответствии с данными Росстата в отношении этого субъекта Российской Федерации, для смежных межрегиональных маршрутов в сообщении с субъектами Российской Федерации - городами федерального значения Москвой, Санкт-Петербургом или Севастополем - в соответствии с данными Росстата в отношении этих субъектов Российской Федерации), руб.;</w:t>
      </w:r>
    </w:p>
    <w:p>
      <w:pPr>
        <w:pStyle w:val="ConsPlusNormal"/>
        <w:spacing w:before="0" w:after="0"/>
        <w:ind w:left="0" w:right="0" w:firstLine="709"/>
        <w:jc w:val="both"/>
        <w:rPr/>
      </w:pPr>
      <w:r>
        <w:rPr/>
        <w:drawing>
          <wp:inline distT="0" distB="0" distL="0" distR="0">
            <wp:extent cx="365760" cy="278130"/>
            <wp:effectExtent l="0" t="0" r="0" b="0"/>
            <wp:docPr id="212" name="Рисунок 2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Рисунок 269" descr=""/>
                    <pic:cNvPicPr>
                      <a:picLocks noChangeAspect="1" noChangeArrowheads="1"/>
                    </pic:cNvPicPr>
                  </pic:nvPicPr>
                  <pic:blipFill>
                    <a:blip r:embed="rId226"/>
                    <a:stretch>
                      <a:fillRect/>
                    </a:stretch>
                  </pic:blipFill>
                  <pic:spPr bwMode="auto">
                    <a:xfrm>
                      <a:off x="0" y="0"/>
                      <a:ext cx="36576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коэффициент, учитывающий дифференциацию заработной платы водителей в зависимости от класса транспортного средства и вида маршрута (принимается в соответствии с </w:t>
      </w:r>
      <w:hyperlink w:anchor="Par888" w:tgtFrame="Коэффициенты, учитывающие дифференциацию заработных плат">
        <w:r>
          <w:rPr>
            <w:sz w:val="28"/>
            <w:szCs w:val="28"/>
          </w:rPr>
          <w:t>таблицей 1</w:t>
        </w:r>
      </w:hyperlink>
      <w:r>
        <w:rPr>
          <w:sz w:val="28"/>
          <w:szCs w:val="28"/>
        </w:rPr>
        <w:t>);</w:t>
      </w:r>
    </w:p>
    <w:p>
      <w:pPr>
        <w:pStyle w:val="ConsPlusNormal"/>
        <w:spacing w:before="0" w:after="0"/>
        <w:ind w:left="0" w:right="0" w:firstLine="709"/>
        <w:jc w:val="both"/>
        <w:rPr/>
      </w:pPr>
      <w:r>
        <w:rPr/>
        <w:drawing>
          <wp:inline distT="0" distB="0" distL="0" distR="0">
            <wp:extent cx="314325" cy="278130"/>
            <wp:effectExtent l="0" t="0" r="0" b="0"/>
            <wp:docPr id="213" name="Рисунок 2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Рисунок 270" descr=""/>
                    <pic:cNvPicPr>
                      <a:picLocks noChangeAspect="1" noChangeArrowheads="1"/>
                    </pic:cNvPicPr>
                  </pic:nvPicPr>
                  <pic:blipFill>
                    <a:blip r:embed="rId227"/>
                    <a:stretch>
                      <a:fillRect/>
                    </a:stretch>
                  </pic:blipFill>
                  <pic:spPr bwMode="auto">
                    <a:xfrm>
                      <a:off x="0" y="0"/>
                      <a:ext cx="31432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коэффициент, учитывающий особенности рынка труда в городах с численностью населения свыше миллиона человек (для г. Москвы принимается равным не менее 0,45, для г. Санкт-Петербурга - не менее 0,7, для других городов с численностью населения свыше миллиона человек - не менее 0,8, для прочих муниципальных образований - 1,0).</w:t>
      </w:r>
    </w:p>
    <w:p>
      <w:pPr>
        <w:pStyle w:val="ConsPlusNormal"/>
        <w:spacing w:before="0" w:after="0"/>
        <w:ind w:left="0" w:right="0" w:firstLine="709"/>
        <w:jc w:val="both"/>
        <w:rPr>
          <w:sz w:val="28"/>
          <w:szCs w:val="28"/>
        </w:rPr>
      </w:pPr>
      <w:r>
        <w:rPr>
          <w:sz w:val="28"/>
          <w:szCs w:val="28"/>
        </w:rPr>
      </w:r>
    </w:p>
    <w:p>
      <w:pPr>
        <w:pStyle w:val="ConsPlusNormal"/>
        <w:numPr>
          <w:ilvl w:val="0"/>
          <w:numId w:val="0"/>
        </w:numPr>
        <w:spacing w:before="0" w:after="0"/>
        <w:ind w:left="0" w:right="0" w:firstLine="709"/>
        <w:jc w:val="right"/>
        <w:outlineLvl w:val="2"/>
        <w:rPr/>
      </w:pPr>
      <w:r>
        <w:rPr>
          <w:sz w:val="28"/>
          <w:szCs w:val="28"/>
        </w:rPr>
        <w:t>Таблица 1</w:t>
      </w:r>
    </w:p>
    <w:p>
      <w:pPr>
        <w:pStyle w:val="ConsPlusNormal"/>
        <w:spacing w:before="0" w:after="0"/>
        <w:ind w:left="0" w:right="0" w:firstLine="709"/>
        <w:jc w:val="both"/>
        <w:rPr>
          <w:sz w:val="28"/>
          <w:szCs w:val="28"/>
        </w:rPr>
      </w:pPr>
      <w:r>
        <w:rPr>
          <w:sz w:val="28"/>
          <w:szCs w:val="28"/>
        </w:rPr>
      </w:r>
    </w:p>
    <w:p>
      <w:pPr>
        <w:pStyle w:val="ConsPlusTitle"/>
        <w:widowControl w:val="false"/>
        <w:suppressAutoHyphens w:val="true"/>
        <w:bidi w:val="0"/>
        <w:spacing w:before="0" w:after="0"/>
        <w:ind w:left="0" w:right="0" w:hanging="0"/>
        <w:jc w:val="center"/>
        <w:rPr/>
      </w:pPr>
      <w:bookmarkStart w:id="44" w:name="Par888"/>
      <w:bookmarkEnd w:id="44"/>
      <w:r>
        <w:rPr>
          <w:rFonts w:cs="Times New Roman" w:ascii="Times New Roman" w:hAnsi="Times New Roman"/>
          <w:sz w:val="28"/>
          <w:szCs w:val="28"/>
        </w:rPr>
        <w:t>Коэффициенты, учитывающие дифференциацию заработных плат</w:t>
      </w:r>
    </w:p>
    <w:p>
      <w:pPr>
        <w:pStyle w:val="ConsPlusTitle"/>
        <w:widowControl w:val="false"/>
        <w:suppressAutoHyphens w:val="true"/>
        <w:bidi w:val="0"/>
        <w:spacing w:before="0" w:after="0"/>
        <w:ind w:left="0" w:right="0" w:hanging="0"/>
        <w:jc w:val="center"/>
        <w:rPr/>
      </w:pPr>
      <w:r>
        <w:rPr>
          <w:rFonts w:cs="Times New Roman" w:ascii="Times New Roman" w:hAnsi="Times New Roman"/>
          <w:sz w:val="28"/>
          <w:szCs w:val="28"/>
        </w:rPr>
        <w:t>работников в зависимости от класса транспортного средства</w:t>
      </w:r>
    </w:p>
    <w:p>
      <w:pPr>
        <w:pStyle w:val="ConsPlusTitle"/>
        <w:widowControl w:val="false"/>
        <w:suppressAutoHyphens w:val="true"/>
        <w:bidi w:val="0"/>
        <w:spacing w:before="0" w:after="0"/>
        <w:ind w:left="0" w:right="0" w:hanging="0"/>
        <w:jc w:val="center"/>
        <w:rPr/>
      </w:pPr>
      <w:r>
        <w:rPr>
          <w:rFonts w:cs="Times New Roman" w:ascii="Times New Roman" w:hAnsi="Times New Roman"/>
          <w:sz w:val="28"/>
          <w:szCs w:val="28"/>
        </w:rPr>
        <w:t>и вида маршрута (</w:t>
      </w:r>
      <w:r>
        <w:rPr>
          <w:rFonts w:cs="Times New Roman" w:ascii="Times New Roman" w:hAnsi="Times New Roman"/>
          <w:i/>
          <w:iCs/>
          <w:sz w:val="28"/>
          <w:szCs w:val="28"/>
        </w:rPr>
        <w:t>К</w:t>
      </w:r>
      <w:r>
        <w:rPr>
          <w:rFonts w:cs="Times New Roman" w:ascii="Times New Roman" w:hAnsi="Times New Roman"/>
          <w:i/>
          <w:iCs/>
          <w:sz w:val="28"/>
          <w:szCs w:val="28"/>
          <w:vertAlign w:val="subscript"/>
        </w:rPr>
        <w:t>ЗПi</w:t>
      </w:r>
      <w:r>
        <w:rPr>
          <w:rFonts w:cs="Times New Roman" w:ascii="Times New Roman" w:hAnsi="Times New Roman"/>
          <w:i/>
          <w:iCs/>
          <w:sz w:val="28"/>
          <w:szCs w:val="28"/>
        </w:rPr>
        <w:t>, К</w:t>
      </w:r>
      <w:r>
        <w:rPr>
          <w:rFonts w:cs="Times New Roman" w:ascii="Times New Roman" w:hAnsi="Times New Roman"/>
          <w:i/>
          <w:iCs/>
          <w:sz w:val="28"/>
          <w:szCs w:val="28"/>
          <w:vertAlign w:val="subscript"/>
        </w:rPr>
        <w:t>ЗП</w:t>
      </w:r>
      <w:r>
        <w:rPr>
          <w:rFonts w:cs="Times New Roman" w:ascii="Times New Roman" w:hAnsi="Times New Roman"/>
          <w:sz w:val="28"/>
          <w:szCs w:val="28"/>
        </w:rPr>
        <w:t>)</w:t>
      </w:r>
    </w:p>
    <w:p>
      <w:pPr>
        <w:pStyle w:val="ConsPlusNormal"/>
        <w:spacing w:before="0" w:after="0"/>
        <w:ind w:left="0" w:right="0" w:firstLine="709"/>
        <w:jc w:val="both"/>
        <w:rPr>
          <w:sz w:val="28"/>
          <w:szCs w:val="28"/>
        </w:rPr>
      </w:pPr>
      <w:r>
        <w:rPr>
          <w:sz w:val="28"/>
          <w:szCs w:val="28"/>
        </w:rPr>
      </w:r>
    </w:p>
    <w:tbl>
      <w:tblPr>
        <w:tblW w:w="9406" w:type="dxa"/>
        <w:jc w:val="center"/>
        <w:tblInd w:w="0" w:type="dxa"/>
        <w:tblLayout w:type="fixed"/>
        <w:tblCellMar>
          <w:top w:w="102" w:type="dxa"/>
          <w:left w:w="62" w:type="dxa"/>
          <w:bottom w:w="102" w:type="dxa"/>
          <w:right w:w="62" w:type="dxa"/>
        </w:tblCellMar>
        <w:tblLook w:val="0000" w:noVBand="0" w:noHBand="0" w:lastColumn="0" w:firstColumn="0" w:lastRow="0" w:firstRow="0"/>
      </w:tblPr>
      <w:tblGrid>
        <w:gridCol w:w="506"/>
        <w:gridCol w:w="2269"/>
        <w:gridCol w:w="3958"/>
        <w:gridCol w:w="2672"/>
      </w:tblGrid>
      <w:tr>
        <w:trPr/>
        <w:tc>
          <w:tcPr>
            <w:tcW w:w="506"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57"/>
              <w:jc w:val="center"/>
              <w:rPr>
                <w:sz w:val="28"/>
                <w:szCs w:val="28"/>
              </w:rPr>
            </w:pPr>
            <w:r>
              <w:rPr>
                <w:sz w:val="28"/>
                <w:szCs w:val="28"/>
              </w:rPr>
              <w:t xml:space="preserve">№ </w:t>
            </w:r>
            <w:r>
              <w:rPr>
                <w:sz w:val="28"/>
                <w:szCs w:val="28"/>
              </w:rPr>
              <w:t>п/п</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Категория работника</w:t>
            </w:r>
          </w:p>
        </w:tc>
        <w:tc>
          <w:tcPr>
            <w:tcW w:w="395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Муниципальные маршруты в границах городских округов, а также маршруты в границах городов федерального значения Москвы, Санкт-Петербурга, Севастополя</w:t>
            </w:r>
          </w:p>
        </w:tc>
        <w:tc>
          <w:tcPr>
            <w:tcW w:w="2672"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Прочие маршруты (следующие за пределы городских округов)</w:t>
            </w:r>
          </w:p>
        </w:tc>
      </w:tr>
      <w:tr>
        <w:trPr/>
        <w:tc>
          <w:tcPr>
            <w:tcW w:w="506"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57"/>
              <w:jc w:val="center"/>
              <w:rPr>
                <w:sz w:val="28"/>
                <w:szCs w:val="28"/>
              </w:rPr>
            </w:pPr>
            <w:r>
              <w:rPr>
                <w:sz w:val="28"/>
                <w:szCs w:val="28"/>
              </w:rPr>
              <w:t>1</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rPr>
                <w:sz w:val="28"/>
                <w:szCs w:val="28"/>
              </w:rPr>
            </w:pPr>
            <w:r>
              <w:rPr>
                <w:sz w:val="28"/>
                <w:szCs w:val="28"/>
              </w:rPr>
              <w:t>Водитель троллейбуса большого класса</w:t>
            </w:r>
          </w:p>
        </w:tc>
        <w:tc>
          <w:tcPr>
            <w:tcW w:w="395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1,0</w:t>
            </w:r>
          </w:p>
        </w:tc>
        <w:tc>
          <w:tcPr>
            <w:tcW w:w="2672"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w:t>
            </w:r>
            <w:r>
              <w:rPr>
                <w:sz w:val="28"/>
                <w:szCs w:val="28"/>
                <w:lang w:val="en-US"/>
              </w:rPr>
              <w:t>0</w:t>
            </w:r>
            <w:r>
              <w:rPr>
                <w:sz w:val="28"/>
                <w:szCs w:val="28"/>
              </w:rPr>
              <w:t>5</w:t>
            </w:r>
          </w:p>
        </w:tc>
      </w:tr>
      <w:tr>
        <w:trPr/>
        <w:tc>
          <w:tcPr>
            <w:tcW w:w="506"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57"/>
              <w:jc w:val="center"/>
              <w:rPr>
                <w:sz w:val="28"/>
                <w:szCs w:val="28"/>
              </w:rPr>
            </w:pPr>
            <w:r>
              <w:rPr>
                <w:sz w:val="28"/>
                <w:szCs w:val="28"/>
              </w:rPr>
              <w:t>2</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rPr>
                <w:sz w:val="28"/>
                <w:szCs w:val="28"/>
              </w:rPr>
            </w:pPr>
            <w:r>
              <w:rPr>
                <w:sz w:val="28"/>
                <w:szCs w:val="28"/>
              </w:rPr>
              <w:t>Водитель троллейбуса особо большого класса</w:t>
            </w:r>
          </w:p>
        </w:tc>
        <w:tc>
          <w:tcPr>
            <w:tcW w:w="395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1,1</w:t>
            </w:r>
          </w:p>
        </w:tc>
        <w:tc>
          <w:tcPr>
            <w:tcW w:w="2672"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w:t>
            </w:r>
            <w:r>
              <w:rPr>
                <w:sz w:val="28"/>
                <w:szCs w:val="28"/>
                <w:lang w:val="en-US"/>
              </w:rPr>
              <w:t>1</w:t>
            </w:r>
            <w:r>
              <w:rPr>
                <w:sz w:val="28"/>
                <w:szCs w:val="28"/>
              </w:rPr>
              <w:t>5</w:t>
            </w:r>
          </w:p>
        </w:tc>
      </w:tr>
      <w:tr>
        <w:trPr/>
        <w:tc>
          <w:tcPr>
            <w:tcW w:w="506"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57"/>
              <w:jc w:val="center"/>
              <w:rPr>
                <w:sz w:val="28"/>
                <w:szCs w:val="28"/>
              </w:rPr>
            </w:pPr>
            <w:r>
              <w:rPr>
                <w:sz w:val="28"/>
                <w:szCs w:val="28"/>
              </w:rPr>
              <w:t>3</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rPr>
                <w:sz w:val="28"/>
                <w:szCs w:val="28"/>
              </w:rPr>
            </w:pPr>
            <w:r>
              <w:rPr>
                <w:sz w:val="28"/>
                <w:szCs w:val="28"/>
              </w:rPr>
              <w:t>Кондуктор</w:t>
            </w:r>
          </w:p>
        </w:tc>
        <w:tc>
          <w:tcPr>
            <w:tcW w:w="395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0,8</w:t>
            </w:r>
          </w:p>
        </w:tc>
        <w:tc>
          <w:tcPr>
            <w:tcW w:w="2672"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0,85</w:t>
            </w:r>
          </w:p>
        </w:tc>
      </w:tr>
      <w:tr>
        <w:trPr/>
        <w:tc>
          <w:tcPr>
            <w:tcW w:w="506"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57"/>
              <w:jc w:val="center"/>
              <w:rPr>
                <w:sz w:val="28"/>
                <w:szCs w:val="28"/>
              </w:rPr>
            </w:pPr>
            <w:r>
              <w:rPr>
                <w:sz w:val="28"/>
                <w:szCs w:val="28"/>
              </w:rPr>
              <w:t>4</w:t>
            </w:r>
          </w:p>
        </w:tc>
        <w:tc>
          <w:tcPr>
            <w:tcW w:w="226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rPr>
                <w:sz w:val="28"/>
                <w:szCs w:val="28"/>
              </w:rPr>
            </w:pPr>
            <w:r>
              <w:rPr>
                <w:sz w:val="28"/>
                <w:szCs w:val="28"/>
              </w:rPr>
              <w:t>Ремонтный рабочий</w:t>
            </w:r>
          </w:p>
        </w:tc>
        <w:tc>
          <w:tcPr>
            <w:tcW w:w="395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0,9</w:t>
            </w:r>
          </w:p>
        </w:tc>
        <w:tc>
          <w:tcPr>
            <w:tcW w:w="2672"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0,9</w:t>
            </w:r>
          </w:p>
        </w:tc>
      </w:tr>
    </w:tbl>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bookmarkStart w:id="45" w:name="Par925"/>
      <w:bookmarkStart w:id="46" w:name="Par938"/>
      <w:bookmarkEnd w:id="45"/>
      <w:bookmarkEnd w:id="46"/>
      <w:r>
        <w:rPr>
          <w:sz w:val="28"/>
          <w:szCs w:val="28"/>
        </w:rPr>
        <w:t>4. Расходы на оплату труда кондукторов транспортных средств в t-ый год срока действия контракта в расчете на 1 км пробега определяются по формуле (4).</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r>
      <m:oMath xmlns:m="http://schemas.openxmlformats.org/officeDocument/2006/math">
        <m:sSub>
          <m:e>
            <m:r>
              <w:rPr>
                <w:rFonts w:ascii="Cambria Math" w:hAnsi="Cambria Math"/>
              </w:rPr>
              <m:t xml:space="preserve">P</m:t>
            </m:r>
          </m:e>
          <m:sub>
            <m:r>
              <w:rPr>
                <w:rFonts w:ascii="Cambria Math" w:hAnsi="Cambria Math"/>
              </w:rPr>
              <m:t xml:space="preserve">ОТК</m:t>
            </m:r>
            <m:r>
              <w:rPr>
                <w:rFonts w:ascii="Cambria Math" w:hAnsi="Cambria Math"/>
              </w:rPr>
              <m:t xml:space="preserve">ti</m:t>
            </m:r>
          </m:sub>
        </m:sSub>
        <m:r>
          <w:rPr>
            <w:rFonts w:ascii="Cambria Math" w:hAnsi="Cambria Math"/>
          </w:rPr>
          <m:t xml:space="preserve">=</m:t>
        </m:r>
        <m:f>
          <m:num>
            <m:r>
              <w:rPr>
                <w:rFonts w:ascii="Cambria Math" w:hAnsi="Cambria Math"/>
              </w:rPr>
              <m:t xml:space="preserve">12</m:t>
            </m:r>
            <m:r>
              <w:rPr>
                <w:rFonts w:ascii="Cambria Math" w:hAnsi="Cambria Math"/>
              </w:rPr>
              <m:t xml:space="preserve">×</m:t>
            </m:r>
            <m:sSub>
              <m:e>
                <m:r>
                  <w:rPr>
                    <w:rFonts w:ascii="Cambria Math" w:hAnsi="Cambria Math"/>
                  </w:rPr>
                  <m:t xml:space="preserve">ЗПК</m:t>
                </m:r>
              </m:e>
              <m:sub/>
            </m:sSub>
          </m:num>
          <m:den>
            <m:sSub>
              <m:e>
                <m:r>
                  <w:rPr>
                    <w:rFonts w:ascii="Cambria Math" w:hAnsi="Cambria Math"/>
                  </w:rPr>
                  <m:t xml:space="preserve">ФРВ</m:t>
                </m:r>
              </m:e>
              <m:sub>
                <m:r>
                  <w:rPr>
                    <w:rFonts w:ascii="Cambria Math" w:hAnsi="Cambria Math"/>
                  </w:rPr>
                  <m:t xml:space="preserve">к</m:t>
                </m:r>
              </m:sub>
            </m:sSub>
          </m:den>
        </m:f>
        <m:r>
          <w:rPr>
            <w:rFonts w:ascii="Cambria Math" w:hAnsi="Cambria Math"/>
          </w:rPr>
          <m:t xml:space="preserve">×</m:t>
        </m:r>
        <m:sSub>
          <m:e>
            <m:r>
              <w:rPr>
                <w:rFonts w:ascii="Cambria Math" w:hAnsi="Cambria Math"/>
              </w:rPr>
              <m:t xml:space="preserve">АЧК</m:t>
            </m:r>
          </m:e>
          <m:sub>
            <m:r>
              <w:rPr>
                <w:rFonts w:ascii="Cambria Math" w:hAnsi="Cambria Math"/>
              </w:rPr>
              <m:t xml:space="preserve">ti</m:t>
            </m:r>
          </m:sub>
        </m:sSub>
        <m:r>
          <w:rPr>
            <w:rFonts w:ascii="Cambria Math" w:hAnsi="Cambria Math"/>
          </w:rPr>
          <m:t xml:space="preserve">×</m:t>
        </m:r>
        <m:r>
          <w:rPr>
            <w:rFonts w:ascii="Cambria Math" w:hAnsi="Cambria Math"/>
          </w:rPr>
          <m:t xml:space="preserve">1,06</m:t>
        </m:r>
        <m:r>
          <w:rPr>
            <w:rFonts w:ascii="Cambria Math" w:hAnsi="Cambria Math"/>
          </w:rPr>
          <m:t xml:space="preserve">×</m:t>
        </m:r>
        <m:f>
          <m:fPr>
            <m:type m:val="lin"/>
          </m:fPr>
          <m:num>
            <m:sSub>
              <m:e>
                <m:r>
                  <w:rPr>
                    <w:rFonts w:ascii="Cambria Math" w:hAnsi="Cambria Math"/>
                  </w:rPr>
                  <m:t xml:space="preserve">I</m:t>
                </m:r>
              </m:e>
              <m:sub>
                <m:r>
                  <w:rPr>
                    <w:rFonts w:ascii="Cambria Math" w:hAnsi="Cambria Math"/>
                  </w:rPr>
                  <m:t xml:space="preserve">пц</m:t>
                </m:r>
                <m:r>
                  <w:rPr>
                    <w:rFonts w:ascii="Cambria Math" w:hAnsi="Cambria Math"/>
                  </w:rPr>
                  <m:t xml:space="preserve">t</m:t>
                </m:r>
              </m:sub>
            </m:sSub>
          </m:num>
          <m:den>
            <m:sSub>
              <m:e>
                <m:r>
                  <w:rPr>
                    <w:rFonts w:ascii="Cambria Math" w:hAnsi="Cambria Math"/>
                  </w:rPr>
                  <m:t xml:space="preserve">L</m:t>
                </m:r>
              </m:e>
              <m:sub>
                <m:r>
                  <w:rPr>
                    <w:rFonts w:ascii="Cambria Math" w:hAnsi="Cambria Math"/>
                  </w:rPr>
                  <m:t xml:space="preserve">ti</m:t>
                </m:r>
              </m:sub>
            </m:sSub>
          </m:den>
        </m:f>
      </m:oMath>
      <w:r>
        <w:rPr>
          <w:sz w:val="28"/>
          <w:szCs w:val="28"/>
        </w:rPr>
        <w:t>, руб./км (4)</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sz w:val="28"/>
          <w:szCs w:val="28"/>
        </w:rPr>
        <w:t xml:space="preserve">12 </w:t>
      </w:r>
      <w:r>
        <w:rPr>
          <w:rFonts w:eastAsia="" w:cs="Times New Roman" w:eastAsiaTheme="minorEastAsia"/>
          <w:color w:val="auto"/>
          <w:kern w:val="0"/>
          <w:sz w:val="28"/>
          <w:szCs w:val="28"/>
          <w:lang w:val="ru-RU" w:eastAsia="ru-RU" w:bidi="ar-SA"/>
        </w:rPr>
        <w:t>−</w:t>
      </w:r>
      <w:r>
        <w:rPr>
          <w:sz w:val="28"/>
          <w:szCs w:val="28"/>
        </w:rPr>
        <w:t xml:space="preserve"> количество месяцев в году;</w:t>
      </w:r>
    </w:p>
    <w:p>
      <w:pPr>
        <w:pStyle w:val="ConsPlusNormal"/>
        <w:spacing w:before="0" w:after="0"/>
        <w:ind w:left="0" w:right="0" w:firstLine="709"/>
        <w:jc w:val="both"/>
        <w:rPr/>
      </w:pPr>
      <w:r>
        <w:rPr>
          <w:i/>
          <w:iCs/>
          <w:sz w:val="28"/>
          <w:szCs w:val="28"/>
        </w:rPr>
        <w:t>ЗПК</w:t>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средняя месячная оплата труда кондуктора (с учетом всех видов премий, надбавок и компенсаций), устанавливаемая на уровне не менее чем определенном в соответствии с заключенным на территории соответствующего субъекта Российской Федерации либо муниципального образования региональным либо территориальным отраслевым соглашением в рамках реализации </w:t>
      </w:r>
      <w:hyperlink r:id="rId228">
        <w:r>
          <w:rPr>
            <w:sz w:val="28"/>
            <w:szCs w:val="28"/>
          </w:rPr>
          <w:t>статей 45</w:t>
        </w:r>
      </w:hyperlink>
      <w:r>
        <w:rPr>
          <w:sz w:val="28"/>
          <w:szCs w:val="28"/>
        </w:rPr>
        <w:t xml:space="preserve"> и </w:t>
      </w:r>
      <w:hyperlink r:id="rId229">
        <w:r>
          <w:rPr>
            <w:sz w:val="28"/>
            <w:szCs w:val="28"/>
          </w:rPr>
          <w:t>48</w:t>
        </w:r>
      </w:hyperlink>
      <w:r>
        <w:rPr>
          <w:sz w:val="28"/>
          <w:szCs w:val="28"/>
        </w:rPr>
        <w:t xml:space="preserve"> Трудового кодекса Российской Федерации, при отсутствии таких соглашений – на уровне не менее, чем определенном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 либо, при отсутствии такого заключенного соглашения - определенном в соответствии с пунктом 5 настоящего приложения, руб.;</w:t>
      </w:r>
    </w:p>
    <w:p>
      <w:pPr>
        <w:pStyle w:val="ConsPlusNormal"/>
        <w:spacing w:before="0" w:after="0"/>
        <w:ind w:left="0" w:right="0" w:firstLine="709"/>
        <w:jc w:val="both"/>
        <w:rPr/>
      </w:pPr>
      <w:r>
        <w:rPr/>
        <w:drawing>
          <wp:inline distT="0" distB="0" distL="0" distR="0">
            <wp:extent cx="504825" cy="278130"/>
            <wp:effectExtent l="0" t="0" r="0" b="0"/>
            <wp:docPr id="214" name="Рисунок 1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Рисунок 168" descr=""/>
                    <pic:cNvPicPr>
                      <a:picLocks noChangeAspect="1" noChangeArrowheads="1"/>
                    </pic:cNvPicPr>
                  </pic:nvPicPr>
                  <pic:blipFill>
                    <a:blip r:embed="rId77"/>
                    <a:stretch>
                      <a:fillRect/>
                    </a:stretch>
                  </pic:blipFill>
                  <pic:spPr bwMode="auto">
                    <a:xfrm>
                      <a:off x="0" y="0"/>
                      <a:ext cx="50482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планируемое количество часов работы троллейбусов i-го класса с кондукторами в t-ом году срока действия контракта (может определяться в соответствии с временем пробега по маршруту и частотой движения по периодам суток и дням недели, установленными Документом планирования регулярных перевозок для каждого из маршрутов, с учетом изменений планового времени пробега в период действия контракта при вводе выделенных полос транспорта общего пользования, иных мер по созданию приоритетных условий движения транспорта общего пользования), час.;</w:t>
      </w:r>
    </w:p>
    <w:p>
      <w:pPr>
        <w:pStyle w:val="ConsPlusNormal"/>
        <w:spacing w:before="0" w:after="0"/>
        <w:ind w:left="0" w:right="0" w:firstLine="709"/>
        <w:jc w:val="both"/>
        <w:rPr/>
      </w:pPr>
      <w:r>
        <w:rPr>
          <w:sz w:val="28"/>
          <w:szCs w:val="28"/>
        </w:rPr>
        <w:t xml:space="preserve">1,06 </w:t>
      </w:r>
      <w:r>
        <w:rPr>
          <w:rFonts w:eastAsia="" w:cs="Times New Roman" w:eastAsiaTheme="minorEastAsia"/>
          <w:color w:val="auto"/>
          <w:kern w:val="0"/>
          <w:sz w:val="28"/>
          <w:szCs w:val="28"/>
          <w:lang w:val="ru-RU" w:eastAsia="ru-RU" w:bidi="ar-SA"/>
        </w:rPr>
        <w:t>−</w:t>
      </w:r>
      <w:r>
        <w:rPr>
          <w:sz w:val="28"/>
          <w:szCs w:val="28"/>
        </w:rPr>
        <w:t xml:space="preserve"> коэффициент, характеризующий продолжительность подготовительно-заключительного времени;</w:t>
      </w:r>
    </w:p>
    <w:p>
      <w:pPr>
        <w:pStyle w:val="ConsPlusNormal"/>
        <w:spacing w:before="0" w:after="0"/>
        <w:ind w:left="0" w:right="0" w:firstLine="709"/>
        <w:jc w:val="both"/>
        <w:rPr/>
      </w:pPr>
      <w:r>
        <w:rPr/>
        <w:drawing>
          <wp:inline distT="0" distB="0" distL="0" distR="0">
            <wp:extent cx="278130" cy="285115"/>
            <wp:effectExtent l="0" t="0" r="0" b="0"/>
            <wp:docPr id="215" name="Рисунок 1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Рисунок 179" descr=""/>
                    <pic:cNvPicPr>
                      <a:picLocks noChangeAspect="1" noChangeArrowheads="1"/>
                    </pic:cNvPicPr>
                  </pic:nvPicPr>
                  <pic:blipFill>
                    <a:blip r:embed="rId78"/>
                    <a:stretch>
                      <a:fillRect/>
                    </a:stretch>
                  </pic:blipFill>
                  <pic:spPr bwMode="auto">
                    <a:xfrm>
                      <a:off x="0" y="0"/>
                      <a:ext cx="278130"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индекс потребительских цен для t-ого года срока действия контракта, принимаемый в соответствии с публикуемыми Минэкономразвития России прогнозами социально-экономического развития Российской Федерации (если срок действия контракта превышает срок прогноза, индекс потребительских цен для каждого года срока действия контракта, не указанного в прогнозе, принимается равным индексу потребительских цен, указанному для последнего года прогноза);</w:t>
      </w:r>
    </w:p>
    <w:p>
      <w:pPr>
        <w:pStyle w:val="ConsPlusNormal"/>
        <w:spacing w:before="0" w:after="0"/>
        <w:ind w:left="0" w:right="0" w:firstLine="709"/>
        <w:jc w:val="both"/>
        <w:rPr/>
      </w:pPr>
      <w:r>
        <w:rPr/>
        <w:drawing>
          <wp:inline distT="0" distB="0" distL="0" distR="0">
            <wp:extent cx="219710" cy="278130"/>
            <wp:effectExtent l="0" t="0" r="0" b="0"/>
            <wp:docPr id="216" name="Рисунок 3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Рисунок 379" descr=""/>
                    <pic:cNvPicPr>
                      <a:picLocks noChangeAspect="1" noChangeArrowheads="1"/>
                    </pic:cNvPicPr>
                  </pic:nvPicPr>
                  <pic:blipFill>
                    <a:blip r:embed="rId79"/>
                    <a:stretch>
                      <a:fillRect/>
                    </a:stretch>
                  </pic:blipFill>
                  <pic:spPr bwMode="auto">
                    <a:xfrm>
                      <a:off x="0" y="0"/>
                      <a:ext cx="21971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предусмотренный контрактом планируемый пробег транспортных средств i-го класса в t-ом году срока действия контракта (может определяться в соответствии с длиной рейсов и частотой движения по периодам суток и дням недели, установленными Документом планирования регулярных перевозок для каждого из маршрутов, с учетом планируемых изменений трасс и параметров движения в период исполнения контракта), км;</w:t>
      </w:r>
    </w:p>
    <w:p>
      <w:pPr>
        <w:pStyle w:val="ConsPlusNormal"/>
        <w:spacing w:before="0" w:after="0"/>
        <w:ind w:left="0" w:right="0" w:firstLine="709"/>
        <w:jc w:val="both"/>
        <w:rPr/>
      </w:pPr>
      <w:r>
        <w:rPr/>
        <w:drawing>
          <wp:inline distT="0" distB="0" distL="0" distR="0">
            <wp:extent cx="475615" cy="278130"/>
            <wp:effectExtent l="0" t="0" r="0" b="0"/>
            <wp:docPr id="217" name="Рисунок 3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Рисунок 381" descr=""/>
                    <pic:cNvPicPr>
                      <a:picLocks noChangeAspect="1" noChangeArrowheads="1"/>
                    </pic:cNvPicPr>
                  </pic:nvPicPr>
                  <pic:blipFill>
                    <a:blip r:embed="rId80"/>
                    <a:stretch>
                      <a:fillRect/>
                    </a:stretch>
                  </pic:blipFill>
                  <pic:spPr bwMode="auto">
                    <a:xfrm>
                      <a:off x="0" y="0"/>
                      <a:ext cx="47561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годовой фонд рабочего времени кондуктора при соблюдении нормальной, 40-часовой продолжительности рабочего времени в неделю, с учетом ежегодного отпуска 28 календарных дней и обязательного дополнительно предоставляемого водителям отпуска 7 календарных дней (принимается равным 1772 часа).</w:t>
      </w:r>
    </w:p>
    <w:p>
      <w:pPr>
        <w:pStyle w:val="ConsPlusNormal"/>
        <w:spacing w:before="0" w:after="0"/>
        <w:ind w:left="0" w:right="0" w:firstLine="709"/>
        <w:jc w:val="both"/>
        <w:rPr/>
      </w:pPr>
      <w:r>
        <w:rPr>
          <w:sz w:val="28"/>
          <w:szCs w:val="28"/>
        </w:rPr>
        <w:t xml:space="preserve">5. При отсутствии на территории соответствующего субъекта Российской Федерации либо муниципального образования регионального либо территориального отраслевого соглашения, заключенного в рамках реализации </w:t>
      </w:r>
      <w:hyperlink r:id="rId230">
        <w:r>
          <w:rPr>
            <w:sz w:val="28"/>
            <w:szCs w:val="28"/>
          </w:rPr>
          <w:t>статей 45</w:t>
        </w:r>
      </w:hyperlink>
      <w:r>
        <w:rPr>
          <w:sz w:val="28"/>
          <w:szCs w:val="28"/>
        </w:rPr>
        <w:t xml:space="preserve"> и </w:t>
      </w:r>
      <w:hyperlink r:id="rId231">
        <w:r>
          <w:rPr>
            <w:sz w:val="28"/>
            <w:szCs w:val="28"/>
          </w:rPr>
          <w:t>48</w:t>
        </w:r>
      </w:hyperlink>
      <w:r>
        <w:rPr>
          <w:sz w:val="28"/>
          <w:szCs w:val="28"/>
        </w:rPr>
        <w:t xml:space="preserve"> Трудового кодекса Российской Федерации и Федерального отраслевого </w:t>
      </w:r>
      <w:hyperlink r:id="rId232">
        <w:r>
          <w:rPr>
            <w:sz w:val="28"/>
            <w:szCs w:val="28"/>
          </w:rPr>
          <w:t>соглашения</w:t>
        </w:r>
      </w:hyperlink>
      <w:r>
        <w:rPr>
          <w:sz w:val="28"/>
          <w:szCs w:val="28"/>
        </w:rPr>
        <w:t xml:space="preserve"> по автомобильному и городскому наземному пассажирскому транспорту или Отраслевого </w:t>
      </w:r>
      <w:hyperlink r:id="rId233">
        <w:r>
          <w:rPr>
            <w:sz w:val="28"/>
            <w:szCs w:val="28"/>
          </w:rPr>
          <w:t>соглашения</w:t>
        </w:r>
      </w:hyperlink>
      <w:r>
        <w:rPr>
          <w:sz w:val="28"/>
          <w:szCs w:val="28"/>
        </w:rPr>
        <w:t xml:space="preserve"> по организациям наземного городского электрического транспорта Российской Федерации, средняя месячная оплата труда кондуктора (с учетом всех видов премий, надбавок и компенсаций) выбирается наибольшая из определенной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 либо определяется по формуле (5).</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2728595" cy="278130"/>
            <wp:effectExtent l="0" t="0" r="0" b="0"/>
            <wp:docPr id="218" name="Рисунок 2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Рисунок 280" descr=""/>
                    <pic:cNvPicPr>
                      <a:picLocks noChangeAspect="1" noChangeArrowheads="1"/>
                    </pic:cNvPicPr>
                  </pic:nvPicPr>
                  <pic:blipFill>
                    <a:blip r:embed="rId85"/>
                    <a:stretch>
                      <a:fillRect/>
                    </a:stretch>
                  </pic:blipFill>
                  <pic:spPr bwMode="auto">
                    <a:xfrm>
                      <a:off x="0" y="0"/>
                      <a:ext cx="2728595" cy="278130"/>
                    </a:xfrm>
                    <a:prstGeom prst="rect">
                      <a:avLst/>
                    </a:prstGeom>
                  </pic:spPr>
                </pic:pic>
              </a:graphicData>
            </a:graphic>
          </wp:inline>
        </w:drawing>
      </w:r>
    </w:p>
    <w:p>
      <w:pPr>
        <w:pStyle w:val="ConsPlusNormal"/>
        <w:spacing w:before="0" w:after="0"/>
        <w:ind w:left="0" w:right="0" w:firstLine="709"/>
        <w:jc w:val="both"/>
        <w:rPr>
          <w:sz w:val="28"/>
          <w:szCs w:val="28"/>
        </w:rPr>
      </w:pPr>
      <w:r>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b w:val="false"/>
          <w:bCs w:val="false"/>
          <w:i/>
          <w:iCs/>
          <w:sz w:val="28"/>
          <w:szCs w:val="28"/>
        </w:rPr>
        <w:t>СЗП</w:t>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(для муниципальных маршрутов в границах поселения,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административно-территориальных единиц субъекта Российской Федерации, для муниципальных маршрутов в границах субъектов Российской Федерации - городов федерального значения Москвы, Санкт-Петербурга или Севастополя в соответствии с данными Росстата в отношении указанных субъектов Российской Федерации, для межмуниципальных маршрутов в границах субъекта Российской Федерации - в соответствии с данными Росстата в отношении этого субъекта Российской Федерации, для смежных межрегиональных маршрутов в сообщении с субъектами Российской Федерации - городами федерального значения Москвой, Санкт-Петербургом или Севастополем - в соответствии с данными Росстата в отношении этих субъектов Российской Федерации), руб.;</w:t>
      </w:r>
    </w:p>
    <w:p>
      <w:pPr>
        <w:pStyle w:val="ConsPlusNormal"/>
        <w:spacing w:before="0" w:after="0"/>
        <w:ind w:left="0" w:right="0" w:firstLine="709"/>
        <w:jc w:val="both"/>
        <w:rPr/>
      </w:pPr>
      <w:r>
        <w:rPr/>
        <w:drawing>
          <wp:inline distT="0" distB="0" distL="0" distR="0">
            <wp:extent cx="336550" cy="278130"/>
            <wp:effectExtent l="0" t="0" r="0" b="0"/>
            <wp:docPr id="219" name="Рисунок 2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Рисунок 282" descr=""/>
                    <pic:cNvPicPr>
                      <a:picLocks noChangeAspect="1" noChangeArrowheads="1"/>
                    </pic:cNvPicPr>
                  </pic:nvPicPr>
                  <pic:blipFill>
                    <a:blip r:embed="rId234"/>
                    <a:stretch>
                      <a:fillRect/>
                    </a:stretch>
                  </pic:blipFill>
                  <pic:spPr bwMode="auto">
                    <a:xfrm>
                      <a:off x="0" y="0"/>
                      <a:ext cx="33655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коэффициент, учитывающий дифференциацию в оплате труда кондукторов в зависимости от вида маршрута (принимается в соответствии с </w:t>
      </w:r>
      <w:hyperlink w:anchor="Par888" w:tgtFrame="Коэффициенты, учитывающие дифференциацию заработных плат">
        <w:r>
          <w:rPr>
            <w:sz w:val="28"/>
            <w:szCs w:val="28"/>
          </w:rPr>
          <w:t>таблицей 1</w:t>
        </w:r>
      </w:hyperlink>
      <w:r>
        <w:rPr>
          <w:sz w:val="28"/>
          <w:szCs w:val="28"/>
        </w:rPr>
        <w:t>);</w:t>
      </w:r>
    </w:p>
    <w:p>
      <w:pPr>
        <w:pStyle w:val="ConsPlusNormal"/>
        <w:spacing w:before="0" w:after="0"/>
        <w:ind w:left="0" w:right="0" w:firstLine="709"/>
        <w:jc w:val="both"/>
        <w:rPr/>
      </w:pPr>
      <w:r>
        <w:rPr/>
        <w:drawing>
          <wp:inline distT="0" distB="0" distL="0" distR="0">
            <wp:extent cx="314325" cy="278130"/>
            <wp:effectExtent l="0" t="0" r="0" b="0"/>
            <wp:docPr id="220" name="Рисунок 2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Рисунок 283" descr=""/>
                    <pic:cNvPicPr>
                      <a:picLocks noChangeAspect="1" noChangeArrowheads="1"/>
                    </pic:cNvPicPr>
                  </pic:nvPicPr>
                  <pic:blipFill>
                    <a:blip r:embed="rId235"/>
                    <a:stretch>
                      <a:fillRect/>
                    </a:stretch>
                  </pic:blipFill>
                  <pic:spPr bwMode="auto">
                    <a:xfrm>
                      <a:off x="0" y="0"/>
                      <a:ext cx="31432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коэффициент, учитывающий особенности рынка труда в городах</w:t>
        <w:br/>
        <w:t xml:space="preserve">с численностью населения свыше миллиона человек (для г. Москвы принимается равным не менее 0,45, для г. Санкт-Петербурга </w:t>
      </w:r>
      <w:r>
        <w:rPr>
          <w:rFonts w:eastAsia="" w:cs="Times New Roman" w:eastAsiaTheme="minorEastAsia"/>
          <w:color w:val="auto"/>
          <w:kern w:val="0"/>
          <w:sz w:val="28"/>
          <w:szCs w:val="28"/>
          <w:lang w:val="ru-RU" w:eastAsia="ru-RU" w:bidi="ar-SA"/>
        </w:rPr>
        <w:t>−</w:t>
      </w:r>
      <w:r>
        <w:rPr>
          <w:sz w:val="28"/>
          <w:szCs w:val="28"/>
        </w:rPr>
        <w:t xml:space="preserve"> не менее 0,7, для других городов</w:t>
        <w:br/>
        <w:t xml:space="preserve">с численностью населения свыше миллиона человек </w:t>
      </w:r>
      <w:r>
        <w:rPr>
          <w:rFonts w:eastAsia="" w:cs="Times New Roman" w:eastAsiaTheme="minorEastAsia"/>
          <w:color w:val="auto"/>
          <w:kern w:val="0"/>
          <w:sz w:val="28"/>
          <w:szCs w:val="28"/>
          <w:lang w:val="ru-RU" w:eastAsia="ru-RU" w:bidi="ar-SA"/>
        </w:rPr>
        <w:t>−</w:t>
      </w:r>
      <w:r>
        <w:rPr>
          <w:sz w:val="28"/>
          <w:szCs w:val="28"/>
        </w:rPr>
        <w:t xml:space="preserve"> не менее 0,8, для прочих муниципальных образований </w:t>
      </w:r>
      <w:r>
        <w:rPr>
          <w:rFonts w:eastAsia="" w:cs="Times New Roman" w:eastAsiaTheme="minorEastAsia"/>
          <w:color w:val="auto"/>
          <w:kern w:val="0"/>
          <w:sz w:val="28"/>
          <w:szCs w:val="28"/>
          <w:lang w:val="ru-RU" w:eastAsia="ru-RU" w:bidi="ar-SA"/>
        </w:rPr>
        <w:t>−</w:t>
      </w:r>
      <w:r>
        <w:rPr>
          <w:sz w:val="28"/>
          <w:szCs w:val="28"/>
        </w:rPr>
        <w:t xml:space="preserve"> 1,0).</w:t>
      </w:r>
    </w:p>
    <w:p>
      <w:pPr>
        <w:pStyle w:val="ConsPlusNormal"/>
        <w:spacing w:before="0" w:after="0"/>
        <w:ind w:left="0" w:right="0" w:firstLine="709"/>
        <w:jc w:val="both"/>
        <w:rPr/>
      </w:pPr>
      <w:bookmarkStart w:id="47" w:name="Par946"/>
      <w:bookmarkEnd w:id="47"/>
      <w:r>
        <w:rPr>
          <w:sz w:val="28"/>
          <w:szCs w:val="28"/>
        </w:rPr>
        <w:t>6. Отчисления на социальные нужды от оплаты труда водителей и кондукторов транспортных средств i-го класса в t-ый год срока действия контракта в расчете на 1 км пробега (</w:t>
      </w:r>
      <w:r>
        <w:rPr>
          <w:i/>
          <w:iCs/>
          <w:sz w:val="28"/>
          <w:szCs w:val="28"/>
        </w:rPr>
        <w:t>СР</w:t>
      </w:r>
      <w:r>
        <w:rPr>
          <w:i/>
          <w:iCs/>
          <w:sz w:val="28"/>
          <w:szCs w:val="28"/>
          <w:vertAlign w:val="subscript"/>
        </w:rPr>
        <w:t>ti</w:t>
      </w:r>
      <w:r>
        <w:rPr>
          <w:sz w:val="28"/>
          <w:szCs w:val="28"/>
        </w:rPr>
        <w:t>) определяются по формуле (6).</w:t>
      </w:r>
    </w:p>
    <w:p>
      <w:pPr>
        <w:pStyle w:val="ConsPlusNormal"/>
        <w:spacing w:before="0" w:after="0"/>
        <w:ind w:left="0" w:right="0" w:firstLine="709"/>
        <w:jc w:val="both"/>
        <w:rPr>
          <w:sz w:val="28"/>
          <w:szCs w:val="28"/>
        </w:rPr>
      </w:pPr>
      <w:r>
        <w:rPr>
          <w:sz w:val="28"/>
          <w:szCs w:val="28"/>
        </w:rPr>
      </w:r>
    </w:p>
    <w:p>
      <w:pPr>
        <w:pStyle w:val="ConsPlusNormal"/>
        <w:widowControl w:val="false"/>
        <w:tabs>
          <w:tab w:val="clear" w:pos="709"/>
          <w:tab w:val="left" w:pos="735" w:leader="none"/>
        </w:tabs>
        <w:suppressAutoHyphens w:val="true"/>
        <w:bidi w:val="0"/>
        <w:spacing w:before="0" w:after="0"/>
        <w:ind w:left="0" w:right="0" w:hanging="0"/>
        <w:jc w:val="center"/>
        <w:rPr/>
      </w:pPr>
      <w:r>
        <w:rPr/>
        <w:drawing>
          <wp:inline distT="0" distB="0" distL="0" distR="0">
            <wp:extent cx="3460115" cy="278130"/>
            <wp:effectExtent l="0" t="0" r="0" b="0"/>
            <wp:docPr id="221" name="Рисунок 2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Рисунок 285" descr=""/>
                    <pic:cNvPicPr>
                      <a:picLocks noChangeAspect="1" noChangeArrowheads="1"/>
                    </pic:cNvPicPr>
                  </pic:nvPicPr>
                  <pic:blipFill>
                    <a:blip r:embed="rId236"/>
                    <a:stretch>
                      <a:fillRect/>
                    </a:stretch>
                  </pic:blipFill>
                  <pic:spPr bwMode="auto">
                    <a:xfrm>
                      <a:off x="0" y="0"/>
                      <a:ext cx="3460115" cy="278130"/>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409575" cy="278130"/>
            <wp:effectExtent l="0" t="0" r="0" b="0"/>
            <wp:docPr id="222" name="Рисунок 2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Рисунок 286" descr=""/>
                    <pic:cNvPicPr>
                      <a:picLocks noChangeAspect="1" noChangeArrowheads="1"/>
                    </pic:cNvPicPr>
                  </pic:nvPicPr>
                  <pic:blipFill>
                    <a:blip r:embed="rId237"/>
                    <a:stretch>
                      <a:fillRect/>
                    </a:stretch>
                  </pic:blipFill>
                  <pic:spPr bwMode="auto">
                    <a:xfrm>
                      <a:off x="0" y="0"/>
                      <a:ext cx="40957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расходы на оплату труда водителей транспортных средств i-го класса в t-ый год срока действия контракта в расчете на 1 км пробега, руб.;</w:t>
      </w:r>
    </w:p>
    <w:p>
      <w:pPr>
        <w:pStyle w:val="ConsPlusNormal"/>
        <w:spacing w:before="0" w:after="0"/>
        <w:ind w:left="0" w:right="0" w:firstLine="709"/>
        <w:jc w:val="both"/>
        <w:rPr/>
      </w:pPr>
      <w:r>
        <w:rPr/>
        <w:drawing>
          <wp:inline distT="0" distB="0" distL="0" distR="0">
            <wp:extent cx="380365" cy="278130"/>
            <wp:effectExtent l="0" t="0" r="0" b="0"/>
            <wp:docPr id="223" name="Рисунок 2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Рисунок 287" descr=""/>
                    <pic:cNvPicPr>
                      <a:picLocks noChangeAspect="1" noChangeArrowheads="1"/>
                    </pic:cNvPicPr>
                  </pic:nvPicPr>
                  <pic:blipFill>
                    <a:blip r:embed="rId238"/>
                    <a:stretch>
                      <a:fillRect/>
                    </a:stretch>
                  </pic:blipFill>
                  <pic:spPr bwMode="auto">
                    <a:xfrm>
                      <a:off x="0" y="0"/>
                      <a:ext cx="38036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расходы на оплату труда кондукторов транспортных средств в t-ый год срока действия контракта в расчете на 1 км пробега, руб.;</w:t>
      </w:r>
    </w:p>
    <w:p>
      <w:pPr>
        <w:pStyle w:val="ConsPlusNormal"/>
        <w:spacing w:before="0" w:after="0"/>
        <w:ind w:left="0" w:right="0" w:firstLine="709"/>
        <w:jc w:val="both"/>
        <w:rPr/>
      </w:pPr>
      <w:r>
        <w:rPr/>
        <w:drawing>
          <wp:inline distT="0" distB="0" distL="0" distR="0">
            <wp:extent cx="314325" cy="278130"/>
            <wp:effectExtent l="0" t="0" r="0" b="0"/>
            <wp:docPr id="224" name="Рисунок 2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Рисунок 288" descr=""/>
                    <pic:cNvPicPr>
                      <a:picLocks noChangeAspect="1" noChangeArrowheads="1"/>
                    </pic:cNvPicPr>
                  </pic:nvPicPr>
                  <pic:blipFill>
                    <a:blip r:embed="rId239"/>
                    <a:stretch>
                      <a:fillRect/>
                    </a:stretch>
                  </pic:blipFill>
                  <pic:spPr bwMode="auto">
                    <a:xfrm>
                      <a:off x="0" y="0"/>
                      <a:ext cx="31432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 определяемый в соответствии с законодательством Российской Федерации, %.</w:t>
      </w:r>
    </w:p>
    <w:p>
      <w:pPr>
        <w:pStyle w:val="ConsPlusNormal"/>
        <w:spacing w:before="0" w:after="0"/>
        <w:ind w:left="0" w:right="0" w:firstLine="709"/>
        <w:jc w:val="both"/>
        <w:rPr/>
      </w:pPr>
      <w:bookmarkStart w:id="48" w:name="Par954"/>
      <w:bookmarkEnd w:id="48"/>
      <w:r>
        <w:rPr>
          <w:sz w:val="28"/>
          <w:szCs w:val="28"/>
        </w:rPr>
        <w:t>7. Расходы на электроэнергию на движение транспортных средств i-го класса в t-ом году срока действия контракта в расчете на 1 км пробега (</w:t>
      </w:r>
      <w:r>
        <w:rPr/>
        <w:drawing>
          <wp:inline distT="0" distB="0" distL="0" distR="0">
            <wp:extent cx="278130" cy="278130"/>
            <wp:effectExtent l="0" t="0" r="0" b="0"/>
            <wp:docPr id="225" name="Рисунок 2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Рисунок 289" descr=""/>
                    <pic:cNvPicPr>
                      <a:picLocks noChangeAspect="1" noChangeArrowheads="1"/>
                    </pic:cNvPicPr>
                  </pic:nvPicPr>
                  <pic:blipFill>
                    <a:blip r:embed="rId240"/>
                    <a:stretch>
                      <a:fillRect/>
                    </a:stretch>
                  </pic:blipFill>
                  <pic:spPr bwMode="auto">
                    <a:xfrm>
                      <a:off x="0" y="0"/>
                      <a:ext cx="278130" cy="278130"/>
                    </a:xfrm>
                    <a:prstGeom prst="rect">
                      <a:avLst/>
                    </a:prstGeom>
                  </pic:spPr>
                </pic:pic>
              </a:graphicData>
            </a:graphic>
          </wp:inline>
        </w:drawing>
      </w:r>
      <w:r>
        <w:rPr>
          <w:sz w:val="28"/>
          <w:szCs w:val="28"/>
        </w:rPr>
        <w:t>) определяются по формуле (7).</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3248025" cy="278130"/>
            <wp:effectExtent l="0" t="0" r="0" b="0"/>
            <wp:docPr id="226" name="Рисунок 2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Рисунок 290" descr=""/>
                    <pic:cNvPicPr>
                      <a:picLocks noChangeAspect="1" noChangeArrowheads="1"/>
                    </pic:cNvPicPr>
                  </pic:nvPicPr>
                  <pic:blipFill>
                    <a:blip r:embed="rId241"/>
                    <a:stretch>
                      <a:fillRect/>
                    </a:stretch>
                  </pic:blipFill>
                  <pic:spPr bwMode="auto">
                    <a:xfrm>
                      <a:off x="0" y="0"/>
                      <a:ext cx="3248025" cy="278130"/>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sz w:val="28"/>
          <w:szCs w:val="28"/>
        </w:rPr>
        <w:t>1</w:t>
      </w:r>
      <w:r>
        <w:rPr>
          <w:i/>
          <w:iCs/>
          <w:sz w:val="28"/>
          <w:szCs w:val="28"/>
        </w:rPr>
        <w:t>,18</w:t>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коэффициент, учитывающий потери в тяговых подстанциях, в системе электроснабжения, а также расходы электроэнергии на вспомогательные производственные процессы (прочее производственное потребление);</w:t>
      </w:r>
    </w:p>
    <w:p>
      <w:pPr>
        <w:pStyle w:val="ConsPlusNormal"/>
        <w:spacing w:before="0" w:after="0"/>
        <w:ind w:left="0" w:right="0" w:firstLine="709"/>
        <w:jc w:val="both"/>
        <w:rPr/>
      </w:pPr>
      <w:r>
        <w:rPr/>
        <w:drawing>
          <wp:inline distT="0" distB="0" distL="0" distR="0">
            <wp:extent cx="321945" cy="278130"/>
            <wp:effectExtent l="0" t="0" r="0" b="0"/>
            <wp:docPr id="227" name="Рисунок 2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Рисунок 291" descr=""/>
                    <pic:cNvPicPr>
                      <a:picLocks noChangeAspect="1" noChangeArrowheads="1"/>
                    </pic:cNvPicPr>
                  </pic:nvPicPr>
                  <pic:blipFill>
                    <a:blip r:embed="rId242"/>
                    <a:stretch>
                      <a:fillRect/>
                    </a:stretch>
                  </pic:blipFill>
                  <pic:spPr bwMode="auto">
                    <a:xfrm>
                      <a:off x="0" y="0"/>
                      <a:ext cx="32194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потребление электроэнергии на движение транспортных средств i-го класса, КВт.ч/км (для троллейбусов большого класса принимается равным не менее 2,4, для троллейбусов особо большого класса </w:t>
      </w:r>
      <w:r>
        <w:rPr>
          <w:rFonts w:eastAsia="" w:cs="Times New Roman" w:eastAsiaTheme="minorEastAsia"/>
          <w:color w:val="auto"/>
          <w:kern w:val="0"/>
          <w:sz w:val="28"/>
          <w:szCs w:val="28"/>
          <w:lang w:val="ru-RU" w:eastAsia="ru-RU" w:bidi="ar-SA"/>
        </w:rPr>
        <w:t>−</w:t>
      </w:r>
      <w:r>
        <w:rPr>
          <w:sz w:val="28"/>
          <w:szCs w:val="28"/>
        </w:rPr>
        <w:t xml:space="preserve"> не менее 3,7);</w:t>
      </w:r>
    </w:p>
    <w:p>
      <w:pPr>
        <w:pStyle w:val="ConsPlusNormal"/>
        <w:spacing w:before="0" w:after="0"/>
        <w:ind w:left="0" w:right="0" w:firstLine="709"/>
        <w:jc w:val="both"/>
        <w:rPr/>
      </w:pPr>
      <w:r>
        <w:rPr>
          <w:sz w:val="28"/>
          <w:szCs w:val="28"/>
        </w:rPr>
        <w:t xml:space="preserve"> </w:t>
      </w:r>
      <w:r>
        <w:rPr>
          <w:i/>
          <w:iCs/>
          <w:sz w:val="28"/>
          <w:szCs w:val="28"/>
        </w:rPr>
        <w:t>Ц</w:t>
      </w:r>
      <w:r>
        <w:rPr>
          <w:i/>
          <w:iCs/>
          <w:sz w:val="28"/>
          <w:szCs w:val="28"/>
          <w:vertAlign w:val="subscript"/>
        </w:rPr>
        <w:t>э</w:t>
      </w:r>
      <w:r>
        <w:rPr>
          <w:rFonts w:eastAsia="" w:cs="Times New Roman" w:eastAsiaTheme="minorEastAsia"/>
          <w:color w:val="auto"/>
          <w:kern w:val="0"/>
          <w:sz w:val="28"/>
          <w:szCs w:val="28"/>
          <w:lang w:val="ru-RU" w:eastAsia="ru-RU" w:bidi="ar-SA"/>
        </w:rPr>
        <w:t>−</w:t>
      </w:r>
      <w:r>
        <w:rPr>
          <w:sz w:val="28"/>
          <w:szCs w:val="28"/>
        </w:rPr>
        <w:t xml:space="preserve"> цена 1 КВт.ч электроэнергии, включая НДС, по состоянию на конец года, предшествующего году заключения контракта, руб. (принимается в соответствии с фактическими удельными расходами предприятия электротранспорта за прошлый год, а при отсутствии таких данных – в соответствии с данными территориальных органов Росстата);</w:t>
      </w:r>
    </w:p>
    <w:p>
      <w:pPr>
        <w:pStyle w:val="ConsPlusNormal"/>
        <w:spacing w:before="0" w:after="0"/>
        <w:ind w:left="0" w:right="0" w:firstLine="709"/>
        <w:jc w:val="both"/>
        <w:rPr/>
      </w:pPr>
      <w:r>
        <w:rPr/>
        <w:drawing>
          <wp:inline distT="0" distB="0" distL="0" distR="0">
            <wp:extent cx="226695" cy="278130"/>
            <wp:effectExtent l="0" t="0" r="0" b="0"/>
            <wp:docPr id="228" name="Рисунок 2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Рисунок 293" descr=""/>
                    <pic:cNvPicPr>
                      <a:picLocks noChangeAspect="1" noChangeArrowheads="1"/>
                    </pic:cNvPicPr>
                  </pic:nvPicPr>
                  <pic:blipFill>
                    <a:blip r:embed="rId243"/>
                    <a:stretch>
                      <a:fillRect/>
                    </a:stretch>
                  </pic:blipFill>
                  <pic:spPr bwMode="auto">
                    <a:xfrm>
                      <a:off x="0" y="0"/>
                      <a:ext cx="22669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индекс цен на электрическую энергию для t-го года срока действия контракта (принимаемый в соответствии с публикуемыми Минэкономразвития России прогнозами социально-экономического развития Российской Федерации (если срок действия контракта превышает срок прогноза, индекс цен на электрическую энергию для каждого года срока действия контракта, не указанного в прогнозе, принимается равным индексу цен на электрическую энергию, указанному для последнего года прогноза)).</w:t>
      </w:r>
    </w:p>
    <w:p>
      <w:pPr>
        <w:pStyle w:val="ConsPlusNormal"/>
        <w:spacing w:before="0" w:after="0"/>
        <w:ind w:left="0" w:right="0" w:firstLine="709"/>
        <w:jc w:val="both"/>
        <w:rPr/>
      </w:pPr>
      <w:bookmarkStart w:id="49" w:name="Par963"/>
      <w:bookmarkEnd w:id="49"/>
      <w:r>
        <w:rPr>
          <w:sz w:val="28"/>
          <w:szCs w:val="28"/>
        </w:rPr>
        <w:t>8. Расходы на износ и ремонт шин транспортных средств i-го класса в t-ый год срока действия контракта в расчете на 1 км пробега (</w:t>
      </w:r>
      <w:r>
        <w:rPr>
          <w:i/>
          <w:iCs/>
          <w:sz w:val="28"/>
          <w:szCs w:val="28"/>
        </w:rPr>
        <w:t>Р</w:t>
      </w:r>
      <w:r>
        <w:rPr>
          <w:i/>
          <w:iCs/>
          <w:sz w:val="28"/>
          <w:szCs w:val="28"/>
          <w:vertAlign w:val="subscript"/>
        </w:rPr>
        <w:t>Шti</w:t>
      </w:r>
      <w:r>
        <w:rPr>
          <w:sz w:val="28"/>
          <w:szCs w:val="28"/>
        </w:rPr>
        <w:t>) определяются</w:t>
        <w:br/>
        <w:t>по формуле (8).</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2238375" cy="278130"/>
            <wp:effectExtent l="0" t="0" r="0" b="0"/>
            <wp:docPr id="229" name="Рисунок 2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Рисунок 295" descr=""/>
                    <pic:cNvPicPr>
                      <a:picLocks noChangeAspect="1" noChangeArrowheads="1"/>
                    </pic:cNvPicPr>
                  </pic:nvPicPr>
                  <pic:blipFill>
                    <a:blip r:embed="rId244"/>
                    <a:stretch>
                      <a:fillRect/>
                    </a:stretch>
                  </pic:blipFill>
                  <pic:spPr bwMode="auto">
                    <a:xfrm>
                      <a:off x="0" y="0"/>
                      <a:ext cx="2238375" cy="278130"/>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321945" cy="278130"/>
            <wp:effectExtent l="0" t="0" r="0" b="0"/>
            <wp:docPr id="230" name="Рисунок 2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Рисунок 296" descr=""/>
                    <pic:cNvPicPr>
                      <a:picLocks noChangeAspect="1" noChangeArrowheads="1"/>
                    </pic:cNvPicPr>
                  </pic:nvPicPr>
                  <pic:blipFill>
                    <a:blip r:embed="rId245"/>
                    <a:stretch>
                      <a:fillRect/>
                    </a:stretch>
                  </pic:blipFill>
                  <pic:spPr bwMode="auto">
                    <a:xfrm>
                      <a:off x="0" y="0"/>
                      <a:ext cx="32194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базовые удельные расходы на шины i-го класса в расчете на 1 км пробега транспортных средств i-го класса, включая НДС, руб./км (для троллейбусов большого класса принимается равным не менее 0,75, для троллейбусов особо большого класса - не менее 0,94).</w:t>
      </w:r>
    </w:p>
    <w:p>
      <w:pPr>
        <w:pStyle w:val="ConsPlusNormal"/>
        <w:spacing w:before="0" w:after="0"/>
        <w:ind w:left="0" w:right="0" w:firstLine="709"/>
        <w:jc w:val="both"/>
        <w:rPr/>
      </w:pPr>
      <w:r>
        <w:rPr/>
        <w:drawing>
          <wp:inline distT="0" distB="0" distL="0" distR="0">
            <wp:extent cx="241300" cy="278130"/>
            <wp:effectExtent l="0" t="0" r="0" b="0"/>
            <wp:docPr id="231" name="Рисунок 2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Рисунок 297" descr=""/>
                    <pic:cNvPicPr>
                      <a:picLocks noChangeAspect="1" noChangeArrowheads="1"/>
                    </pic:cNvPicPr>
                  </pic:nvPicPr>
                  <pic:blipFill>
                    <a:blip r:embed="rId109"/>
                    <a:stretch>
                      <a:fillRect/>
                    </a:stretch>
                  </pic:blipFill>
                  <pic:spPr bwMode="auto">
                    <a:xfrm>
                      <a:off x="0" y="0"/>
                      <a:ext cx="24130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индекс цен на машины и оборудование для t-ого года срока действия контракта (принимается равным произведению определяемых Росстатом индексов цен производителей машин и оборудования за период с декабря 2017 года по период, ближайший к началу срока действия контракта, и прогнозного индекса цен производителей на продукцию машиностроения для каждого года срока действия контракта, определяемого Минэкономразвития России в прогнозе социально-экономического развития Российской Федерации (если срок действия контракта превышает срок прогноза, индекс цен производителей на продукцию машиностроения для каждого года срока действия контракта, не указанного в прогнозе, принимается равным индексу цен производителей на продукцию машиностроения, указанному для последнего года прогноза)).</w:t>
      </w:r>
    </w:p>
    <w:p>
      <w:pPr>
        <w:pStyle w:val="ConsPlusNormal"/>
        <w:spacing w:before="0" w:after="0"/>
        <w:ind w:left="0" w:right="0" w:firstLine="709"/>
        <w:jc w:val="both"/>
        <w:rPr/>
      </w:pPr>
      <w:bookmarkStart w:id="50" w:name="Par971"/>
      <w:bookmarkEnd w:id="50"/>
      <w:r>
        <w:rPr>
          <w:sz w:val="28"/>
          <w:szCs w:val="28"/>
        </w:rPr>
        <w:t>9. Расходы на техническое обслуживание и ремонт транспортных средств i-го класса в t-ый год срока действия контракта в расчете на 1 км пробега (</w:t>
      </w:r>
      <w:r>
        <w:rPr/>
        <w:drawing>
          <wp:inline distT="0" distB="0" distL="0" distR="0">
            <wp:extent cx="365760" cy="278130"/>
            <wp:effectExtent l="0" t="0" r="0" b="0"/>
            <wp:docPr id="232" name="Рисунок 2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Рисунок 298" descr=""/>
                    <pic:cNvPicPr>
                      <a:picLocks noChangeAspect="1" noChangeArrowheads="1"/>
                    </pic:cNvPicPr>
                  </pic:nvPicPr>
                  <pic:blipFill>
                    <a:blip r:embed="rId246"/>
                    <a:stretch>
                      <a:fillRect/>
                    </a:stretch>
                  </pic:blipFill>
                  <pic:spPr bwMode="auto">
                    <a:xfrm>
                      <a:off x="0" y="0"/>
                      <a:ext cx="365760" cy="278130"/>
                    </a:xfrm>
                    <a:prstGeom prst="rect">
                      <a:avLst/>
                    </a:prstGeom>
                  </pic:spPr>
                </pic:pic>
              </a:graphicData>
            </a:graphic>
          </wp:inline>
        </w:drawing>
      </w:r>
      <w:r>
        <w:rPr>
          <w:sz w:val="28"/>
          <w:szCs w:val="28"/>
        </w:rPr>
        <w:t>) определяются по формуле (9).</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2655570" cy="285115"/>
            <wp:effectExtent l="0" t="0" r="0" b="0"/>
            <wp:docPr id="233" name="Рисунок 2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Рисунок 299" descr=""/>
                    <pic:cNvPicPr>
                      <a:picLocks noChangeAspect="1" noChangeArrowheads="1"/>
                    </pic:cNvPicPr>
                  </pic:nvPicPr>
                  <pic:blipFill>
                    <a:blip r:embed="rId247"/>
                    <a:stretch>
                      <a:fillRect/>
                    </a:stretch>
                  </pic:blipFill>
                  <pic:spPr bwMode="auto">
                    <a:xfrm>
                      <a:off x="0" y="0"/>
                      <a:ext cx="2655570" cy="285115"/>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592455" cy="285115"/>
            <wp:effectExtent l="0" t="0" r="0" b="0"/>
            <wp:docPr id="234" name="Рисунок 3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Рисунок 300" descr=""/>
                    <pic:cNvPicPr>
                      <a:picLocks noChangeAspect="1" noChangeArrowheads="1"/>
                    </pic:cNvPicPr>
                  </pic:nvPicPr>
                  <pic:blipFill>
                    <a:blip r:embed="rId248"/>
                    <a:stretch>
                      <a:fillRect/>
                    </a:stretch>
                  </pic:blipFill>
                  <pic:spPr bwMode="auto">
                    <a:xfrm>
                      <a:off x="0" y="0"/>
                      <a:ext cx="592455"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978" w:tgtFrame="10. Расходы на оплату труда ремонтных рабочих с отчислениями на социальные нужды в расчете на 1 км пробега транспортных средств i-го класса в t-ый год срока действия контракта (_) определяются по формуле (10).">
        <w:r>
          <w:rPr>
            <w:sz w:val="28"/>
            <w:szCs w:val="28"/>
          </w:rPr>
          <w:t>пунктом 10</w:t>
        </w:r>
      </w:hyperlink>
      <w:r>
        <w:rPr>
          <w:sz w:val="28"/>
          <w:szCs w:val="28"/>
        </w:rPr>
        <w:t xml:space="preserve"> настоящего приложения расходы на оплату труда ремонтных рабочих с отчислениями на социальные нужды в расчете на 1 км пробега транспортных средств i-го класса в t-ый год срока действия контракта;</w:t>
      </w:r>
    </w:p>
    <w:p>
      <w:pPr>
        <w:pStyle w:val="ConsPlusNormal"/>
        <w:spacing w:before="0" w:after="0"/>
        <w:ind w:left="0" w:right="0" w:firstLine="709"/>
        <w:jc w:val="both"/>
        <w:rPr/>
      </w:pPr>
      <w:r>
        <w:rPr/>
        <w:drawing>
          <wp:inline distT="0" distB="0" distL="0" distR="0">
            <wp:extent cx="365760" cy="278130"/>
            <wp:effectExtent l="0" t="0" r="0" b="0"/>
            <wp:docPr id="235" name="Рисунок 3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Рисунок 301" descr=""/>
                    <pic:cNvPicPr>
                      <a:picLocks noChangeAspect="1" noChangeArrowheads="1"/>
                    </pic:cNvPicPr>
                  </pic:nvPicPr>
                  <pic:blipFill>
                    <a:blip r:embed="rId249"/>
                    <a:stretch>
                      <a:fillRect/>
                    </a:stretch>
                  </pic:blipFill>
                  <pic:spPr bwMode="auto">
                    <a:xfrm>
                      <a:off x="0" y="0"/>
                      <a:ext cx="36576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определенные в соответствии с </w:t>
      </w:r>
      <w:hyperlink w:anchor="Par1036" w:tgtFrame="12. Расходы на запасные части и материалы, используемые при техническом обслуживании и ремонте транспортных средств i-го класса в t-ый год срока действия контракта в расчете на 1 км пробега (_) определяются по формуле (12).">
        <w:r>
          <w:rPr>
            <w:sz w:val="28"/>
            <w:szCs w:val="28"/>
          </w:rPr>
          <w:t>пунктом 12</w:t>
        </w:r>
      </w:hyperlink>
      <w:r>
        <w:rPr>
          <w:sz w:val="28"/>
          <w:szCs w:val="28"/>
        </w:rPr>
        <w:t xml:space="preserve"> настоящего приложения расходы на запасные части и материалы, используемые при техническом обслуживании и ремонте транспортных средств i-го класса в t-ый год срока действия контракта в расчете на 1 км пробега.</w:t>
      </w:r>
    </w:p>
    <w:p>
      <w:pPr>
        <w:pStyle w:val="ConsPlusNormal"/>
        <w:spacing w:before="0" w:after="0"/>
        <w:ind w:left="0" w:right="0" w:firstLine="709"/>
        <w:jc w:val="both"/>
        <w:rPr/>
      </w:pPr>
      <w:bookmarkStart w:id="51" w:name="Par978"/>
      <w:bookmarkEnd w:id="51"/>
      <w:r>
        <w:rPr>
          <w:sz w:val="28"/>
          <w:szCs w:val="28"/>
        </w:rPr>
        <w:t>10. Расходы на оплату труда ремонтных рабочих с отчислениями на социальные нужды в расчете на 1 км пробега транспортных средств i-го класса в t-ый год срока действия контракта (</w:t>
      </w:r>
      <w:r>
        <w:rPr>
          <w:i/>
          <w:iCs/>
          <w:sz w:val="28"/>
          <w:szCs w:val="28"/>
        </w:rPr>
        <w:t>ФОТ</w:t>
      </w:r>
      <w:r>
        <w:rPr>
          <w:i/>
          <w:iCs/>
          <w:sz w:val="28"/>
          <w:szCs w:val="28"/>
          <w:vertAlign w:val="subscript"/>
        </w:rPr>
        <w:t>ppi</w:t>
      </w:r>
      <w:r>
        <w:rPr>
          <w:sz w:val="28"/>
          <w:szCs w:val="28"/>
        </w:rPr>
        <w:t>) определяются по формуле (10).</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r>
      <m:oMath xmlns:m="http://schemas.openxmlformats.org/officeDocument/2006/math">
        <m:sSub>
          <m:e>
            <m:r>
              <w:rPr>
                <w:rFonts w:ascii="Cambria Math" w:hAnsi="Cambria Math"/>
              </w:rPr>
              <m:t xml:space="preserve">ФОТ</m:t>
            </m:r>
          </m:e>
          <m:sub>
            <m:r>
              <w:rPr>
                <w:rFonts w:ascii="Cambria Math" w:hAnsi="Cambria Math"/>
              </w:rPr>
              <m:t xml:space="preserve">ppi</m:t>
            </m:r>
          </m:sub>
        </m:sSub>
        <m:r>
          <w:rPr>
            <w:rFonts w:ascii="Cambria Math" w:hAnsi="Cambria Math"/>
          </w:rPr>
          <m:t xml:space="preserve">=</m:t>
        </m:r>
        <m:d>
          <m:dPr>
            <m:begChr m:val="("/>
            <m:endChr m:val=")"/>
          </m:dPr>
          <m:e>
            <m:f>
              <m:num>
                <m:r>
                  <w:rPr>
                    <w:rFonts w:ascii="Cambria Math" w:hAnsi="Cambria Math"/>
                  </w:rPr>
                  <m:t xml:space="preserve">12</m:t>
                </m:r>
                <m:r>
                  <w:rPr>
                    <w:rFonts w:ascii="Cambria Math" w:hAnsi="Cambria Math"/>
                  </w:rPr>
                  <m:t xml:space="preserve">×</m:t>
                </m:r>
                <m:r>
                  <w:rPr>
                    <w:rFonts w:ascii="Cambria Math" w:hAnsi="Cambria Math"/>
                  </w:rPr>
                  <m:t xml:space="preserve">ЗПР</m:t>
                </m:r>
              </m:num>
              <m:den>
                <m:sSub>
                  <m:e>
                    <m:r>
                      <w:rPr>
                        <w:rFonts w:ascii="Cambria Math" w:hAnsi="Cambria Math"/>
                      </w:rPr>
                      <m:t xml:space="preserve">ФРВ</m:t>
                    </m:r>
                  </m:e>
                  <m:sub>
                    <m:r>
                      <w:rPr>
                        <w:rFonts w:ascii="Cambria Math" w:hAnsi="Cambria Math"/>
                      </w:rPr>
                      <m:t xml:space="preserve">рр</m:t>
                    </m:r>
                  </m:sub>
                </m:sSub>
              </m:den>
            </m:f>
          </m:e>
        </m:d>
        <m:r>
          <w:rPr>
            <w:rFonts w:ascii="Cambria Math" w:hAnsi="Cambria Math"/>
          </w:rPr>
          <m:t xml:space="preserve">×</m:t>
        </m:r>
        <m:sSub>
          <m:e>
            <m:r>
              <w:rPr>
                <w:rFonts w:ascii="Cambria Math" w:hAnsi="Cambria Math"/>
              </w:rPr>
              <m:t xml:space="preserve">I</m:t>
            </m:r>
          </m:e>
          <m:sub>
            <m:r>
              <w:rPr>
                <w:rFonts w:ascii="Cambria Math" w:hAnsi="Cambria Math"/>
              </w:rPr>
              <m:t xml:space="preserve">пц</m:t>
            </m:r>
            <m:r>
              <w:rPr>
                <w:rFonts w:ascii="Cambria Math" w:hAnsi="Cambria Math"/>
              </w:rPr>
              <m:t xml:space="preserve">t</m:t>
            </m:r>
          </m:sub>
        </m:sSub>
        <m:r>
          <w:rPr>
            <w:rFonts w:ascii="Cambria Math" w:hAnsi="Cambria Math"/>
          </w:rPr>
          <m:t xml:space="preserve">×</m:t>
        </m:r>
        <m:sSub>
          <m:e>
            <m:r>
              <w:rPr>
                <w:rFonts w:ascii="Cambria Math" w:hAnsi="Cambria Math"/>
              </w:rPr>
              <m:t xml:space="preserve">T</m:t>
            </m:r>
          </m:e>
          <m:sub>
            <m:r>
              <w:rPr>
                <w:rFonts w:ascii="Cambria Math" w:hAnsi="Cambria Math"/>
              </w:rPr>
              <m:t xml:space="preserve">Т</m:t>
            </m:r>
            <m:r>
              <w:rPr>
                <w:rFonts w:ascii="Cambria Math" w:hAnsi="Cambria Math"/>
              </w:rPr>
              <m:t xml:space="preserve">i</m:t>
            </m:r>
          </m:sub>
        </m:sSub>
        <m:r>
          <w:rPr>
            <w:rFonts w:ascii="Cambria Math" w:hAnsi="Cambria Math"/>
          </w:rPr>
          <m:t xml:space="preserve">×</m:t>
        </m:r>
        <m:r>
          <w:rPr>
            <w:rFonts w:ascii="Cambria Math" w:hAnsi="Cambria Math"/>
          </w:rPr>
          <m:t xml:space="preserve">0,001</m:t>
        </m:r>
        <m:r>
          <w:rPr>
            <w:rFonts w:ascii="Cambria Math" w:hAnsi="Cambria Math"/>
          </w:rPr>
          <m:t xml:space="preserve">×</m:t>
        </m:r>
        <m:sSub>
          <m:e>
            <m:r>
              <w:rPr>
                <w:rFonts w:ascii="Cambria Math" w:hAnsi="Cambria Math"/>
              </w:rPr>
              <m:t xml:space="preserve">К</m:t>
            </m:r>
          </m:e>
          <m:sub>
            <m:r>
              <w:rPr>
                <w:rFonts w:ascii="Cambria Math" w:hAnsi="Cambria Math"/>
              </w:rPr>
              <m:t xml:space="preserve">ТО</m:t>
            </m:r>
          </m:sub>
        </m:sSub>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f>
              <m:fPr>
                <m:type m:val="lin"/>
              </m:fPr>
              <m:num>
                <m:sSub>
                  <m:e>
                    <m:r>
                      <w:rPr>
                        <w:rFonts w:ascii="Cambria Math" w:hAnsi="Cambria Math"/>
                      </w:rPr>
                      <m:t xml:space="preserve">С</m:t>
                    </m:r>
                  </m:e>
                  <m:sub>
                    <m:r>
                      <w:rPr>
                        <w:rFonts w:ascii="Cambria Math" w:hAnsi="Cambria Math"/>
                      </w:rPr>
                      <m:t xml:space="preserve">ТС</m:t>
                    </m:r>
                  </m:sub>
                </m:sSub>
              </m:num>
              <m:den>
                <m:r>
                  <w:rPr>
                    <w:rFonts w:ascii="Cambria Math" w:hAnsi="Cambria Math"/>
                  </w:rPr>
                  <m:t xml:space="preserve">100</m:t>
                </m:r>
              </m:den>
            </m:f>
          </m:e>
        </m:d>
      </m:oMath>
      <w:r>
        <w:rPr>
          <w:i/>
          <w:sz w:val="28"/>
          <w:szCs w:val="28"/>
        </w:rPr>
        <w:t xml:space="preserve">, </w:t>
      </w:r>
      <w:r>
        <w:rPr>
          <w:sz w:val="28"/>
          <w:szCs w:val="28"/>
        </w:rPr>
        <w:t>руб./км (10)</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sz w:val="28"/>
          <w:szCs w:val="28"/>
        </w:rPr>
        <w:t xml:space="preserve">0,001 </w:t>
      </w:r>
      <w:r>
        <w:rPr>
          <w:rFonts w:eastAsia="" w:cs="Times New Roman" w:eastAsiaTheme="minorEastAsia"/>
          <w:color w:val="auto"/>
          <w:kern w:val="0"/>
          <w:sz w:val="28"/>
          <w:szCs w:val="28"/>
          <w:lang w:val="ru-RU" w:eastAsia="ru-RU" w:bidi="ar-SA"/>
        </w:rPr>
        <w:t>−</w:t>
      </w:r>
      <w:r>
        <w:rPr>
          <w:sz w:val="28"/>
          <w:szCs w:val="28"/>
        </w:rPr>
        <w:t xml:space="preserve"> коэффициент приведения базовой удельной трудоемкости технического обслуживания и ремонта транспортных средств к 1 км пробега;</w:t>
      </w:r>
    </w:p>
    <w:p>
      <w:pPr>
        <w:pStyle w:val="ConsPlusNormal"/>
        <w:spacing w:before="0" w:after="0"/>
        <w:ind w:left="0" w:right="0" w:firstLine="709"/>
        <w:jc w:val="both"/>
        <w:rPr/>
      </w:pPr>
      <w:r>
        <w:rPr>
          <w:sz w:val="28"/>
          <w:szCs w:val="28"/>
        </w:rPr>
        <w:t>12 - количество месяцев в году;</w:t>
      </w:r>
    </w:p>
    <w:p>
      <w:pPr>
        <w:pStyle w:val="ConsPlusNormal"/>
        <w:spacing w:before="0" w:after="0"/>
        <w:ind w:left="0" w:right="0" w:firstLine="709"/>
        <w:jc w:val="both"/>
        <w:rPr/>
      </w:pPr>
      <w:r>
        <w:rPr>
          <w:sz w:val="28"/>
          <w:szCs w:val="28"/>
        </w:rPr>
        <w:t xml:space="preserve"> </w:t>
      </w:r>
      <w:r>
        <w:rPr>
          <w:i/>
          <w:iCs/>
          <w:sz w:val="28"/>
          <w:szCs w:val="28"/>
        </w:rPr>
        <w:t>I</w:t>
      </w:r>
      <w:r>
        <w:rPr>
          <w:i/>
          <w:iCs/>
          <w:sz w:val="28"/>
          <w:szCs w:val="28"/>
          <w:vertAlign w:val="subscript"/>
        </w:rPr>
        <w:t xml:space="preserve">пцt </w:t>
      </w:r>
      <w:r>
        <w:rPr>
          <w:rFonts w:eastAsia="" w:cs="Times New Roman" w:eastAsiaTheme="minorEastAsia"/>
          <w:color w:val="auto"/>
          <w:kern w:val="0"/>
          <w:sz w:val="28"/>
          <w:szCs w:val="28"/>
          <w:lang w:val="ru-RU" w:eastAsia="ru-RU" w:bidi="ar-SA"/>
        </w:rPr>
        <w:t>−</w:t>
      </w:r>
      <w:r>
        <w:rPr>
          <w:sz w:val="28"/>
          <w:szCs w:val="28"/>
        </w:rPr>
        <w:t xml:space="preserve"> индекс потребительских цен для t-го года срока действия контракта, принимаемый в соответствии с публикуемыми Минэкономразвития России прогнозами социально-экономического развития Российской Федерации (если срок действия контракта превышает срок прогноза, индекс потребительских цен для каждого года срока действия контракта, не указанного в прогнозе, принимается равным индексу потребительских цен, указанному для последнего года прогноза);</w:t>
      </w:r>
    </w:p>
    <w:p>
      <w:pPr>
        <w:pStyle w:val="ConsPlusNormal"/>
        <w:spacing w:before="0" w:after="0"/>
        <w:ind w:left="0" w:right="0" w:firstLine="709"/>
        <w:jc w:val="both"/>
        <w:rPr/>
      </w:pPr>
      <w:r>
        <w:rPr>
          <w:sz w:val="28"/>
          <w:szCs w:val="28"/>
        </w:rPr>
        <w:t xml:space="preserve"> </w:t>
      </w:r>
      <w:r>
        <w:rPr>
          <w:i/>
          <w:iCs/>
          <w:sz w:val="28"/>
          <w:szCs w:val="28"/>
        </w:rPr>
        <w:t>ЗПР</w:t>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определенная в соответствии с </w:t>
      </w:r>
      <w:hyperlink w:anchor="Par1028" w:tgtFrame="11. Расчетная месячная оплата труда ремонтного рабочего (ЗПР) устанавливается на уровне не менее, чем определенном в соответствии с заключенным на территории соответствующего субъекта Российской Федерации, либо муниципального образования региональным, либо тер">
        <w:r>
          <w:rPr>
            <w:sz w:val="28"/>
            <w:szCs w:val="28"/>
          </w:rPr>
          <w:t>пунктом 11</w:t>
        </w:r>
      </w:hyperlink>
      <w:r>
        <w:rPr>
          <w:sz w:val="28"/>
          <w:szCs w:val="28"/>
        </w:rPr>
        <w:t xml:space="preserve"> настоящего приложения средняя месячная оплата труда ремонтного рабочего, руб./мес.;</w:t>
      </w:r>
    </w:p>
    <w:p>
      <w:pPr>
        <w:pStyle w:val="ConsPlusNormal"/>
        <w:spacing w:before="0" w:after="0"/>
        <w:ind w:left="0" w:right="0" w:firstLine="709"/>
        <w:jc w:val="both"/>
        <w:rPr/>
      </w:pPr>
      <w:r>
        <w:rPr>
          <w:i/>
          <w:iCs/>
          <w:sz w:val="28"/>
          <w:szCs w:val="28"/>
        </w:rPr>
        <w:t>Т</w:t>
      </w:r>
      <w:r>
        <w:rPr>
          <w:i/>
          <w:iCs/>
          <w:sz w:val="28"/>
          <w:szCs w:val="28"/>
          <w:vertAlign w:val="subscript"/>
        </w:rPr>
        <w:t xml:space="preserve">тi </w:t>
      </w:r>
      <w:r>
        <w:rPr>
          <w:rFonts w:eastAsia="" w:cs="Times New Roman" w:eastAsiaTheme="minorEastAsia"/>
          <w:color w:val="auto"/>
          <w:kern w:val="0"/>
          <w:sz w:val="28"/>
          <w:szCs w:val="28"/>
          <w:lang w:val="ru-RU" w:eastAsia="ru-RU" w:bidi="ar-SA"/>
        </w:rPr>
        <w:t>−</w:t>
      </w:r>
      <w:r>
        <w:rPr>
          <w:sz w:val="28"/>
          <w:szCs w:val="28"/>
        </w:rPr>
        <w:t xml:space="preserve"> базовая удельная трудоемкость технического обслуживания транспортного средства i-го класса, час./1000 км (для троллейбусов большого класса принимается равным не менее 25,0, для троллейбусов особо большого класса - не менее 30,0);</w:t>
      </w:r>
    </w:p>
    <w:p>
      <w:pPr>
        <w:pStyle w:val="ConsPlusNormal"/>
        <w:spacing w:before="0" w:after="0"/>
        <w:ind w:left="0" w:right="0" w:firstLine="709"/>
        <w:jc w:val="both"/>
        <w:rPr/>
      </w:pPr>
      <w:r>
        <w:rPr>
          <w:i/>
          <w:iCs/>
          <w:sz w:val="28"/>
          <w:szCs w:val="28"/>
        </w:rPr>
        <w:t>К</w:t>
      </w:r>
      <w:r>
        <w:rPr>
          <w:i/>
          <w:iCs/>
          <w:sz w:val="28"/>
          <w:szCs w:val="28"/>
          <w:vertAlign w:val="subscript"/>
        </w:rPr>
        <w:t>ТО</w:t>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коэффициент корректировки базовой удельной трудоемкости технического обслуживания транспортных средств в зависимости от природно-климатических условий (принимается в соответствии с </w:t>
      </w:r>
      <w:hyperlink w:anchor="Par997" w:tgtFrame="Коэффициенты корректировки">
        <w:r>
          <w:rPr>
            <w:sz w:val="28"/>
            <w:szCs w:val="28"/>
          </w:rPr>
          <w:t>таблицей 2</w:t>
        </w:r>
      </w:hyperlink>
      <w:r>
        <w:rPr>
          <w:sz w:val="28"/>
          <w:szCs w:val="28"/>
        </w:rPr>
        <w:t>);</w:t>
      </w:r>
    </w:p>
    <w:p>
      <w:pPr>
        <w:pStyle w:val="ConsPlusNormal"/>
        <w:spacing w:before="0" w:after="0"/>
        <w:ind w:left="0" w:right="0" w:firstLine="709"/>
        <w:jc w:val="both"/>
        <w:rPr/>
      </w:pPr>
      <w:r>
        <w:rPr>
          <w:i/>
          <w:iCs/>
          <w:sz w:val="28"/>
          <w:szCs w:val="28"/>
        </w:rPr>
        <w:t>ФРВ</w:t>
      </w:r>
      <w:r>
        <w:rPr>
          <w:i/>
          <w:iCs/>
          <w:sz w:val="28"/>
          <w:szCs w:val="28"/>
          <w:vertAlign w:val="subscript"/>
        </w:rPr>
        <w:t>pp</w:t>
      </w:r>
      <w:r>
        <w:rPr>
          <w:sz w:val="28"/>
          <w:szCs w:val="28"/>
          <w:vertAlign w:val="subscript"/>
        </w:rPr>
        <w:t xml:space="preserve"> </w:t>
      </w:r>
      <w:r>
        <w:rPr>
          <w:rFonts w:eastAsia="" w:cs="Times New Roman" w:eastAsiaTheme="minorEastAsia"/>
          <w:color w:val="auto"/>
          <w:kern w:val="0"/>
          <w:sz w:val="28"/>
          <w:szCs w:val="28"/>
          <w:lang w:val="ru-RU" w:eastAsia="ru-RU" w:bidi="ar-SA"/>
        </w:rPr>
        <w:t>−</w:t>
      </w:r>
      <w:r>
        <w:rPr>
          <w:sz w:val="28"/>
          <w:szCs w:val="28"/>
        </w:rPr>
        <w:t xml:space="preserve"> годовой фонд рабочего времени ремонтного рабочего при соблюдении нормальной, 40-часовой, продолжительности рабочего времени в неделю (принимается равным 1812 часов);</w:t>
      </w:r>
    </w:p>
    <w:p>
      <w:pPr>
        <w:pStyle w:val="ConsPlusNormal"/>
        <w:spacing w:before="0" w:after="0"/>
        <w:ind w:left="0" w:right="0" w:firstLine="709"/>
        <w:jc w:val="both"/>
        <w:rPr/>
      </w:pPr>
      <w:r>
        <w:rPr>
          <w:i/>
          <w:iCs/>
          <w:sz w:val="28"/>
          <w:szCs w:val="28"/>
        </w:rPr>
        <w:t>С</w:t>
      </w:r>
      <w:r>
        <w:rPr>
          <w:i/>
          <w:iCs/>
          <w:sz w:val="28"/>
          <w:szCs w:val="28"/>
          <w:vertAlign w:val="subscript"/>
        </w:rPr>
        <w:t xml:space="preserve">ТС </w:t>
      </w:r>
      <w:r>
        <w:rPr>
          <w:rFonts w:eastAsia="" w:cs="Times New Roman" w:eastAsiaTheme="minorEastAsia"/>
          <w:color w:val="auto"/>
          <w:kern w:val="0"/>
          <w:sz w:val="28"/>
          <w:szCs w:val="28"/>
          <w:lang w:val="ru-RU" w:eastAsia="ru-RU" w:bidi="ar-SA"/>
        </w:rPr>
        <w:t>−</w:t>
      </w:r>
      <w:r>
        <w:rPr>
          <w:sz w:val="28"/>
          <w:szCs w:val="28"/>
        </w:rPr>
        <w:t xml:space="preserve">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 определяемый в соответствии с законодательством Российской Федерации, %.</w:t>
      </w:r>
    </w:p>
    <w:p>
      <w:pPr>
        <w:pStyle w:val="ConsPlusNormal"/>
        <w:spacing w:before="0" w:after="0"/>
        <w:ind w:left="0" w:right="0" w:firstLine="709"/>
        <w:jc w:val="both"/>
        <w:rPr>
          <w:sz w:val="28"/>
          <w:szCs w:val="28"/>
        </w:rPr>
      </w:pPr>
      <w:r>
        <w:rPr>
          <w:sz w:val="28"/>
          <w:szCs w:val="28"/>
        </w:rPr>
      </w:r>
    </w:p>
    <w:p>
      <w:pPr>
        <w:pStyle w:val="ConsPlusNormal"/>
        <w:numPr>
          <w:ilvl w:val="0"/>
          <w:numId w:val="0"/>
        </w:numPr>
        <w:spacing w:before="0" w:after="0"/>
        <w:ind w:left="0" w:right="0" w:firstLine="709"/>
        <w:jc w:val="right"/>
        <w:outlineLvl w:val="2"/>
        <w:rPr/>
      </w:pPr>
      <w:r>
        <w:rPr/>
      </w:r>
    </w:p>
    <w:p>
      <w:pPr>
        <w:pStyle w:val="ConsPlusNormal"/>
        <w:numPr>
          <w:ilvl w:val="0"/>
          <w:numId w:val="0"/>
        </w:numPr>
        <w:spacing w:before="0" w:after="0"/>
        <w:ind w:left="0" w:right="0" w:firstLine="709"/>
        <w:jc w:val="right"/>
        <w:outlineLvl w:val="2"/>
        <w:rPr/>
      </w:pPr>
      <w:r>
        <w:rPr/>
      </w:r>
    </w:p>
    <w:p>
      <w:pPr>
        <w:pStyle w:val="ConsPlusNormal"/>
        <w:numPr>
          <w:ilvl w:val="0"/>
          <w:numId w:val="0"/>
        </w:numPr>
        <w:spacing w:before="0" w:after="0"/>
        <w:ind w:left="0" w:right="0" w:firstLine="709"/>
        <w:jc w:val="right"/>
        <w:outlineLvl w:val="2"/>
        <w:rPr/>
      </w:pPr>
      <w:r>
        <w:rPr>
          <w:sz w:val="28"/>
          <w:szCs w:val="28"/>
        </w:rPr>
        <w:t>Таблица 2</w:t>
      </w:r>
    </w:p>
    <w:p>
      <w:pPr>
        <w:pStyle w:val="ConsPlusNormal"/>
        <w:spacing w:before="0" w:after="0"/>
        <w:ind w:left="0" w:right="0" w:firstLine="709"/>
        <w:jc w:val="both"/>
        <w:rPr>
          <w:sz w:val="28"/>
          <w:szCs w:val="28"/>
        </w:rPr>
      </w:pPr>
      <w:r>
        <w:rPr>
          <w:sz w:val="28"/>
          <w:szCs w:val="28"/>
        </w:rPr>
      </w:r>
    </w:p>
    <w:p>
      <w:pPr>
        <w:pStyle w:val="ConsPlusTitle"/>
        <w:widowControl w:val="false"/>
        <w:suppressAutoHyphens w:val="true"/>
        <w:bidi w:val="0"/>
        <w:spacing w:before="0" w:after="0"/>
        <w:ind w:left="0" w:right="0" w:hanging="0"/>
        <w:jc w:val="center"/>
        <w:rPr/>
      </w:pPr>
      <w:bookmarkStart w:id="52" w:name="Par997"/>
      <w:bookmarkEnd w:id="52"/>
      <w:r>
        <w:rPr>
          <w:rFonts w:cs="Times New Roman" w:ascii="Times New Roman" w:hAnsi="Times New Roman"/>
          <w:sz w:val="28"/>
          <w:szCs w:val="28"/>
        </w:rPr>
        <w:t>Коэффициенты корректировки</w:t>
      </w:r>
    </w:p>
    <w:p>
      <w:pPr>
        <w:pStyle w:val="ConsPlusTitle"/>
        <w:widowControl w:val="false"/>
        <w:suppressAutoHyphens w:val="true"/>
        <w:bidi w:val="0"/>
        <w:spacing w:before="0" w:after="0"/>
        <w:ind w:left="0" w:right="0" w:hanging="0"/>
        <w:jc w:val="center"/>
        <w:rPr/>
      </w:pPr>
      <w:r>
        <w:rPr>
          <w:rFonts w:cs="Times New Roman" w:ascii="Times New Roman" w:hAnsi="Times New Roman"/>
          <w:sz w:val="28"/>
          <w:szCs w:val="28"/>
        </w:rPr>
        <w:t>в зависимости от природно-климатических условий базовых</w:t>
      </w:r>
    </w:p>
    <w:p>
      <w:pPr>
        <w:pStyle w:val="ConsPlusTitle"/>
        <w:widowControl w:val="false"/>
        <w:suppressAutoHyphens w:val="true"/>
        <w:bidi w:val="0"/>
        <w:spacing w:before="0" w:after="0"/>
        <w:ind w:left="0" w:right="0" w:hanging="0"/>
        <w:jc w:val="center"/>
        <w:rPr/>
      </w:pPr>
      <w:r>
        <w:rPr>
          <w:rFonts w:cs="Times New Roman" w:ascii="Times New Roman" w:hAnsi="Times New Roman"/>
          <w:sz w:val="28"/>
          <w:szCs w:val="28"/>
        </w:rPr>
        <w:t>удельных трудоемкостей технического обслуживания и текущего</w:t>
      </w:r>
    </w:p>
    <w:p>
      <w:pPr>
        <w:pStyle w:val="ConsPlusTitle"/>
        <w:widowControl w:val="false"/>
        <w:suppressAutoHyphens w:val="true"/>
        <w:bidi w:val="0"/>
        <w:spacing w:before="0" w:after="0"/>
        <w:ind w:left="0" w:right="0" w:hanging="0"/>
        <w:jc w:val="center"/>
        <w:rPr/>
      </w:pPr>
      <w:r>
        <w:rPr>
          <w:rFonts w:cs="Times New Roman" w:ascii="Times New Roman" w:hAnsi="Times New Roman"/>
          <w:sz w:val="28"/>
          <w:szCs w:val="28"/>
        </w:rPr>
        <w:t>ремонта транспортных средств, а также базовых удельных</w:t>
      </w:r>
    </w:p>
    <w:p>
      <w:pPr>
        <w:pStyle w:val="ConsPlusTitle"/>
        <w:widowControl w:val="false"/>
        <w:suppressAutoHyphens w:val="true"/>
        <w:bidi w:val="0"/>
        <w:spacing w:before="0" w:after="0"/>
        <w:ind w:left="0" w:right="0" w:hanging="0"/>
        <w:jc w:val="center"/>
        <w:rPr/>
      </w:pPr>
      <w:r>
        <w:rPr>
          <w:rFonts w:cs="Times New Roman" w:ascii="Times New Roman" w:hAnsi="Times New Roman"/>
          <w:sz w:val="28"/>
          <w:szCs w:val="28"/>
        </w:rPr>
        <w:t>расходов на запасные части и материалы (</w:t>
      </w:r>
      <w:r>
        <w:rPr>
          <w:rFonts w:cs="Times New Roman" w:ascii="Times New Roman" w:hAnsi="Times New Roman"/>
          <w:b w:val="false"/>
          <w:i/>
          <w:sz w:val="28"/>
          <w:szCs w:val="28"/>
        </w:rPr>
        <w:t>К</w:t>
      </w:r>
      <w:r>
        <w:rPr>
          <w:rFonts w:cs="Times New Roman" w:ascii="Times New Roman" w:hAnsi="Times New Roman"/>
          <w:i/>
          <w:sz w:val="28"/>
          <w:szCs w:val="28"/>
          <w:vertAlign w:val="subscript"/>
        </w:rPr>
        <w:t>ТО</w:t>
      </w:r>
      <w:r>
        <w:rPr>
          <w:rFonts w:cs="Times New Roman" w:ascii="Times New Roman" w:hAnsi="Times New Roman"/>
          <w:i/>
          <w:sz w:val="28"/>
          <w:szCs w:val="28"/>
        </w:rPr>
        <w:t xml:space="preserve">, </w:t>
      </w:r>
      <w:r>
        <w:rPr>
          <w:rFonts w:cs="Times New Roman" w:ascii="Times New Roman" w:hAnsi="Times New Roman"/>
          <w:b w:val="false"/>
          <w:i/>
          <w:sz w:val="28"/>
          <w:szCs w:val="28"/>
        </w:rPr>
        <w:t>К</w:t>
      </w:r>
      <w:r>
        <w:rPr>
          <w:rFonts w:cs="Times New Roman" w:ascii="Times New Roman" w:hAnsi="Times New Roman"/>
          <w:b w:val="false"/>
          <w:i/>
          <w:sz w:val="28"/>
          <w:szCs w:val="28"/>
          <w:vertAlign w:val="subscript"/>
        </w:rPr>
        <w:t>ЗЧ</w:t>
      </w:r>
      <w:r>
        <w:rPr>
          <w:rFonts w:cs="Times New Roman" w:ascii="Times New Roman" w:hAnsi="Times New Roman"/>
          <w:sz w:val="28"/>
          <w:szCs w:val="28"/>
        </w:rPr>
        <w:t>)</w:t>
      </w:r>
    </w:p>
    <w:p>
      <w:pPr>
        <w:pStyle w:val="ConsPlusNormal"/>
        <w:spacing w:before="0" w:after="0"/>
        <w:ind w:left="0" w:right="0" w:firstLine="709"/>
        <w:jc w:val="both"/>
        <w:rPr>
          <w:sz w:val="28"/>
          <w:szCs w:val="28"/>
        </w:rPr>
      </w:pPr>
      <w:r>
        <w:rPr>
          <w:sz w:val="28"/>
          <w:szCs w:val="28"/>
        </w:rPr>
      </w:r>
    </w:p>
    <w:tbl>
      <w:tblPr>
        <w:tblW w:w="9371" w:type="dxa"/>
        <w:jc w:val="center"/>
        <w:tblInd w:w="0" w:type="dxa"/>
        <w:tblLayout w:type="fixed"/>
        <w:tblCellMar>
          <w:top w:w="102" w:type="dxa"/>
          <w:left w:w="62" w:type="dxa"/>
          <w:bottom w:w="102" w:type="dxa"/>
          <w:right w:w="62" w:type="dxa"/>
        </w:tblCellMar>
        <w:tblLook w:val="0000" w:noVBand="0" w:noHBand="0" w:lastColumn="0" w:firstColumn="0" w:lastRow="0" w:firstRow="0"/>
      </w:tblPr>
      <w:tblGrid>
        <w:gridCol w:w="7658"/>
        <w:gridCol w:w="865"/>
        <w:gridCol w:w="848"/>
      </w:tblGrid>
      <w:tr>
        <w:trPr/>
        <w:tc>
          <w:tcPr>
            <w:tcW w:w="765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Субъект Российской Федерации</w:t>
            </w:r>
          </w:p>
        </w:tc>
        <w:tc>
          <w:tcPr>
            <w:tcW w:w="86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i/>
                <w:i/>
                <w:iCs/>
                <w:sz w:val="28"/>
                <w:szCs w:val="28"/>
              </w:rPr>
            </w:pPr>
            <w:r>
              <w:rPr>
                <w:i/>
                <w:iCs/>
                <w:sz w:val="28"/>
                <w:szCs w:val="28"/>
              </w:rPr>
              <w:t>К</w:t>
            </w:r>
            <w:r>
              <w:rPr>
                <w:i/>
                <w:iCs/>
                <w:sz w:val="28"/>
                <w:szCs w:val="28"/>
                <w:vertAlign w:val="subscript"/>
              </w:rPr>
              <w:t>ТО</w:t>
            </w:r>
          </w:p>
        </w:tc>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pPr>
            <w:r>
              <w:rPr>
                <w:rFonts w:cs="Times New Roman"/>
                <w:b w:val="false"/>
                <w:i/>
                <w:sz w:val="28"/>
                <w:szCs w:val="28"/>
              </w:rPr>
              <w:t>К</w:t>
            </w:r>
            <w:r>
              <w:rPr>
                <w:rFonts w:cs="Times New Roman"/>
                <w:b w:val="false"/>
                <w:i/>
                <w:sz w:val="28"/>
                <w:szCs w:val="28"/>
                <w:vertAlign w:val="subscript"/>
              </w:rPr>
              <w:t>ЗЧ</w:t>
            </w:r>
          </w:p>
        </w:tc>
      </w:tr>
      <w:tr>
        <w:trPr/>
        <w:tc>
          <w:tcPr>
            <w:tcW w:w="765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left"/>
              <w:rPr>
                <w:sz w:val="28"/>
                <w:szCs w:val="28"/>
              </w:rPr>
            </w:pPr>
            <w:r>
              <w:rPr>
                <w:sz w:val="28"/>
                <w:szCs w:val="28"/>
              </w:rPr>
              <w:t>Республика Дагестан, Республика Северная Осетия - Алания, Чеченская Республика, Республика Ингушетия, Республика Крым, Кабардино-Балкарская Республика; Краснодарский и Ставропольский края; Калининградская и Ростовская области; город федерального значения Севастополь</w:t>
            </w:r>
          </w:p>
        </w:tc>
        <w:tc>
          <w:tcPr>
            <w:tcW w:w="86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1,0</w:t>
            </w:r>
          </w:p>
        </w:tc>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1,0</w:t>
            </w:r>
          </w:p>
        </w:tc>
      </w:tr>
      <w:tr>
        <w:trPr/>
        <w:tc>
          <w:tcPr>
            <w:tcW w:w="765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left"/>
              <w:rPr>
                <w:sz w:val="28"/>
                <w:szCs w:val="28"/>
              </w:rPr>
            </w:pPr>
            <w:r>
              <w:rPr>
                <w:sz w:val="28"/>
                <w:szCs w:val="28"/>
              </w:rPr>
              <w:t>Республика Башкортостан, Удмуртская Республика; Пермский край; Курганская, Свердловская, Челябинская области</w:t>
            </w:r>
          </w:p>
        </w:tc>
        <w:tc>
          <w:tcPr>
            <w:tcW w:w="86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1,1</w:t>
            </w:r>
          </w:p>
        </w:tc>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1,1</w:t>
            </w:r>
          </w:p>
        </w:tc>
      </w:tr>
      <w:tr>
        <w:trPr/>
        <w:tc>
          <w:tcPr>
            <w:tcW w:w="765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left"/>
              <w:rPr>
                <w:sz w:val="28"/>
                <w:szCs w:val="28"/>
              </w:rPr>
            </w:pPr>
            <w:r>
              <w:rPr>
                <w:sz w:val="28"/>
                <w:szCs w:val="28"/>
              </w:rPr>
              <w:t>Республика Алтай, Республика Бурятия, Республика Карелия, Республика Коми, Республика Тыва, Республика Хакасия; Алтайский, Забайкальский, Камчатский, Красноярский, Приморский и Хабаровский края; Амурская, Архангельская, Иркутская, Кемеровская, Мурманская, Новосибирская, Омская, Сахалинская, Томская, Тюменская области; Ненецкий автономный округ, Ханты-Мансийский автономный округ - Югра, Ямало-Ненецкий автономный округ</w:t>
            </w:r>
          </w:p>
        </w:tc>
        <w:tc>
          <w:tcPr>
            <w:tcW w:w="86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1,2</w:t>
            </w:r>
          </w:p>
        </w:tc>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1,25</w:t>
            </w:r>
          </w:p>
        </w:tc>
      </w:tr>
      <w:tr>
        <w:trPr/>
        <w:tc>
          <w:tcPr>
            <w:tcW w:w="765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left"/>
              <w:rPr>
                <w:sz w:val="28"/>
                <w:szCs w:val="28"/>
              </w:rPr>
            </w:pPr>
            <w:r>
              <w:rPr>
                <w:sz w:val="28"/>
                <w:szCs w:val="28"/>
              </w:rPr>
              <w:t>Республика Саха (Якутия), Магаданская область, Чукотский автономный округ</w:t>
            </w:r>
          </w:p>
        </w:tc>
        <w:tc>
          <w:tcPr>
            <w:tcW w:w="86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1,3</w:t>
            </w:r>
          </w:p>
        </w:tc>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w:t>
            </w:r>
            <w:r>
              <w:rPr>
                <w:sz w:val="28"/>
                <w:szCs w:val="28"/>
                <w:lang w:val="en-US"/>
              </w:rPr>
              <w:t>3</w:t>
            </w:r>
          </w:p>
        </w:tc>
      </w:tr>
      <w:tr>
        <w:trPr/>
        <w:tc>
          <w:tcPr>
            <w:tcW w:w="765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left"/>
              <w:rPr>
                <w:sz w:val="28"/>
                <w:szCs w:val="28"/>
              </w:rPr>
            </w:pPr>
            <w:r>
              <w:rPr>
                <w:sz w:val="28"/>
                <w:szCs w:val="28"/>
              </w:rPr>
              <w:t>Прочие</w:t>
            </w:r>
          </w:p>
        </w:tc>
        <w:tc>
          <w:tcPr>
            <w:tcW w:w="86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1,0</w:t>
            </w:r>
          </w:p>
        </w:tc>
        <w:tc>
          <w:tcPr>
            <w:tcW w:w="848"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1,0</w:t>
            </w:r>
          </w:p>
        </w:tc>
      </w:tr>
    </w:tbl>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bookmarkStart w:id="53" w:name="Par1028"/>
      <w:bookmarkEnd w:id="53"/>
      <w:r>
        <w:rPr>
          <w:sz w:val="28"/>
          <w:szCs w:val="28"/>
        </w:rPr>
        <w:t xml:space="preserve">11. Средняя месячная оплата труда ремонтного рабочего (ЗПР) (с учетом всех видов премий, надбавок и компенсаций) устанавливается на уровне не менее, чем определенном в соответствии с заключенным на территории соответствующего субъекта Российской Федерации, либо муниципального образования региональным, либо территориальным отраслевым соглашением в рамках реализации </w:t>
      </w:r>
      <w:hyperlink r:id="rId250">
        <w:r>
          <w:rPr>
            <w:sz w:val="28"/>
            <w:szCs w:val="28"/>
          </w:rPr>
          <w:t>статей 45</w:t>
        </w:r>
      </w:hyperlink>
      <w:r>
        <w:rPr>
          <w:sz w:val="28"/>
          <w:szCs w:val="28"/>
        </w:rPr>
        <w:t xml:space="preserve"> и </w:t>
      </w:r>
      <w:hyperlink r:id="rId251">
        <w:r>
          <w:rPr>
            <w:sz w:val="28"/>
            <w:szCs w:val="28"/>
          </w:rPr>
          <w:t>48</w:t>
        </w:r>
      </w:hyperlink>
      <w:r>
        <w:rPr>
          <w:sz w:val="28"/>
          <w:szCs w:val="28"/>
        </w:rPr>
        <w:t xml:space="preserve"> Трудового кодекса Российской Федерации, при отсутствии таких соглашений – на уровне не менее, чем определенном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 При отсутствии на территории соответствующего субъекта Российской Федерации либо муниципального образования регионального либо территориального отраслевого соглашения, заключенного в рамках реализации </w:t>
      </w:r>
      <w:hyperlink r:id="rId252">
        <w:r>
          <w:rPr>
            <w:sz w:val="28"/>
            <w:szCs w:val="28"/>
          </w:rPr>
          <w:t>статей 45</w:t>
        </w:r>
      </w:hyperlink>
      <w:r>
        <w:rPr>
          <w:sz w:val="28"/>
          <w:szCs w:val="28"/>
        </w:rPr>
        <w:t xml:space="preserve"> и </w:t>
      </w:r>
      <w:hyperlink r:id="rId253">
        <w:r>
          <w:rPr>
            <w:sz w:val="28"/>
            <w:szCs w:val="28"/>
          </w:rPr>
          <w:t>48</w:t>
        </w:r>
      </w:hyperlink>
      <w:r>
        <w:rPr>
          <w:sz w:val="28"/>
          <w:szCs w:val="28"/>
        </w:rPr>
        <w:t xml:space="preserve"> Трудового кодекса Российской Федерации и Федерального отраслевого соглашения по автомобильному и городскому наземному пассажирскому транспорту или Отраслевого соглашения по организациям наземного городского электрического транспорта Российской Федерации, средняя месячная оплата труда ремонтного рабочего (с учетом всех видов премий, надбавок и компенсаций) выбирается наибольшая из определенной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 либо определяется по формуле (11).</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2787015" cy="278130"/>
            <wp:effectExtent l="0" t="0" r="0" b="0"/>
            <wp:docPr id="236" name="Рисунок 3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Рисунок 318" descr=""/>
                    <pic:cNvPicPr>
                      <a:picLocks noChangeAspect="1" noChangeArrowheads="1"/>
                    </pic:cNvPicPr>
                  </pic:nvPicPr>
                  <pic:blipFill>
                    <a:blip r:embed="rId254"/>
                    <a:stretch>
                      <a:fillRect/>
                    </a:stretch>
                  </pic:blipFill>
                  <pic:spPr bwMode="auto">
                    <a:xfrm>
                      <a:off x="0" y="0"/>
                      <a:ext cx="2787015" cy="278130"/>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409575" cy="219710"/>
            <wp:effectExtent l="0" t="0" r="0" b="0"/>
            <wp:docPr id="237" name="Рисунок 3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Рисунок 319" descr=""/>
                    <pic:cNvPicPr>
                      <a:picLocks noChangeAspect="1" noChangeArrowheads="1"/>
                    </pic:cNvPicPr>
                  </pic:nvPicPr>
                  <pic:blipFill>
                    <a:blip r:embed="rId255"/>
                    <a:stretch>
                      <a:fillRect/>
                    </a:stretch>
                  </pic:blipFill>
                  <pic:spPr bwMode="auto">
                    <a:xfrm>
                      <a:off x="0" y="0"/>
                      <a:ext cx="409575" cy="21971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за ближайший истекший отчетный период (для муниципальных маршрутов в границах поселения, городского округа или двух и более поселений одного муниципального района принимается в соответствии с данными Росстата в отношении указанных административно-территориальных единиц субъекта Российской Федерации, для муниципальных маршрутов в границах субъектов Российской Федерации - городов федерального значения Москвы, Санкт-Петербурга или Севастополя в соответствии с данными Росстата в отношении указанных субъектов Российской Федерации, для межмуниципальных маршрутов в границах субъекта Российской Федерации - в соответствии с данными Росстата в отношении этого субъекта Российской Федерации, для смежных межрегиональных маршрутов в сообщении с субъектами Российской Федерации - городами федерального значения Москвой, Санкт-Петербургом или Севастополем - в соответствии с данными Росстата в отношении этих субъектов Российской Федерации), руб.;</w:t>
      </w:r>
    </w:p>
    <w:p>
      <w:pPr>
        <w:pStyle w:val="ConsPlusNormal"/>
        <w:spacing w:before="0" w:after="0"/>
        <w:ind w:left="0" w:right="0" w:firstLine="709"/>
        <w:jc w:val="both"/>
        <w:rPr/>
      </w:pPr>
      <w:r>
        <w:rPr/>
        <w:drawing>
          <wp:inline distT="0" distB="0" distL="0" distR="0">
            <wp:extent cx="336550" cy="278130"/>
            <wp:effectExtent l="0" t="0" r="0" b="0"/>
            <wp:docPr id="238" name="Рисунок 3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Рисунок 320" descr=""/>
                    <pic:cNvPicPr>
                      <a:picLocks noChangeAspect="1" noChangeArrowheads="1"/>
                    </pic:cNvPicPr>
                  </pic:nvPicPr>
                  <pic:blipFill>
                    <a:blip r:embed="rId256"/>
                    <a:stretch>
                      <a:fillRect/>
                    </a:stretch>
                  </pic:blipFill>
                  <pic:spPr bwMode="auto">
                    <a:xfrm>
                      <a:off x="0" y="0"/>
                      <a:ext cx="33655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коэффициент, учитывающий дифференциацию в оплате труда ремонтных рабочих в зависимости от вида маршрута (принимается в соответствии с </w:t>
      </w:r>
      <w:hyperlink w:anchor="Par888" w:tgtFrame="Коэффициенты, учитывающие дифференциацию заработных плат">
        <w:r>
          <w:rPr>
            <w:sz w:val="28"/>
            <w:szCs w:val="28"/>
          </w:rPr>
          <w:t>таблицей 1</w:t>
        </w:r>
      </w:hyperlink>
      <w:r>
        <w:rPr>
          <w:sz w:val="28"/>
          <w:szCs w:val="28"/>
        </w:rPr>
        <w:t>);</w:t>
      </w:r>
    </w:p>
    <w:p>
      <w:pPr>
        <w:pStyle w:val="ConsPlusNormal"/>
        <w:spacing w:before="0" w:after="0"/>
        <w:ind w:left="0" w:right="0" w:firstLine="709"/>
        <w:jc w:val="both"/>
        <w:rPr/>
      </w:pPr>
      <w:r>
        <w:rPr/>
        <w:drawing>
          <wp:inline distT="0" distB="0" distL="0" distR="0">
            <wp:extent cx="314325" cy="278130"/>
            <wp:effectExtent l="0" t="0" r="0" b="0"/>
            <wp:docPr id="239" name="Рисунок 3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Рисунок 321" descr=""/>
                    <pic:cNvPicPr>
                      <a:picLocks noChangeAspect="1" noChangeArrowheads="1"/>
                    </pic:cNvPicPr>
                  </pic:nvPicPr>
                  <pic:blipFill>
                    <a:blip r:embed="rId257"/>
                    <a:stretch>
                      <a:fillRect/>
                    </a:stretch>
                  </pic:blipFill>
                  <pic:spPr bwMode="auto">
                    <a:xfrm>
                      <a:off x="0" y="0"/>
                      <a:ext cx="31432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коэффициент, учитывающий особенности рынка труда в городах</w:t>
        <w:br/>
        <w:t xml:space="preserve">с численностью населения свыше миллиона человек (для г. Москвы принимается равным не менее 0,45, для г. Санкт-Петербурга </w:t>
      </w:r>
      <w:r>
        <w:rPr>
          <w:rFonts w:eastAsia="" w:cs="Times New Roman" w:eastAsiaTheme="minorEastAsia"/>
          <w:color w:val="auto"/>
          <w:kern w:val="0"/>
          <w:sz w:val="28"/>
          <w:szCs w:val="28"/>
          <w:lang w:val="ru-RU" w:eastAsia="ru-RU" w:bidi="ar-SA"/>
        </w:rPr>
        <w:t>−</w:t>
      </w:r>
      <w:r>
        <w:rPr>
          <w:sz w:val="28"/>
          <w:szCs w:val="28"/>
        </w:rPr>
        <w:t xml:space="preserve"> не менее 0,7, для других городов</w:t>
        <w:br/>
        <w:t xml:space="preserve">с численностью населения свыше миллиона человек </w:t>
      </w:r>
      <w:r>
        <w:rPr>
          <w:rFonts w:eastAsia="" w:cs="Times New Roman" w:eastAsiaTheme="minorEastAsia"/>
          <w:color w:val="auto"/>
          <w:kern w:val="0"/>
          <w:sz w:val="28"/>
          <w:szCs w:val="28"/>
          <w:lang w:val="ru-RU" w:eastAsia="ru-RU" w:bidi="ar-SA"/>
        </w:rPr>
        <w:t>−</w:t>
      </w:r>
      <w:r>
        <w:rPr>
          <w:sz w:val="28"/>
          <w:szCs w:val="28"/>
        </w:rPr>
        <w:t xml:space="preserve"> не менее 0,8, для прочих муниципальных образований </w:t>
      </w:r>
      <w:r>
        <w:rPr>
          <w:rFonts w:eastAsia="" w:cs="Times New Roman" w:eastAsiaTheme="minorEastAsia"/>
          <w:color w:val="auto"/>
          <w:kern w:val="0"/>
          <w:sz w:val="28"/>
          <w:szCs w:val="28"/>
          <w:lang w:val="ru-RU" w:eastAsia="ru-RU" w:bidi="ar-SA"/>
        </w:rPr>
        <w:t>−</w:t>
      </w:r>
      <w:r>
        <w:rPr>
          <w:sz w:val="28"/>
          <w:szCs w:val="28"/>
        </w:rPr>
        <w:t xml:space="preserve"> 1,0).</w:t>
      </w:r>
    </w:p>
    <w:p>
      <w:pPr>
        <w:pStyle w:val="ConsPlusNormal"/>
        <w:spacing w:before="0" w:after="0"/>
        <w:ind w:left="0" w:right="0" w:firstLine="709"/>
        <w:jc w:val="both"/>
        <w:rPr/>
      </w:pPr>
      <w:bookmarkStart w:id="54" w:name="Par1036"/>
      <w:bookmarkEnd w:id="54"/>
      <w:r>
        <w:rPr>
          <w:sz w:val="28"/>
          <w:szCs w:val="28"/>
        </w:rPr>
        <w:t>12. Расходы на запасные части и материалы, используемые при техническом обслуживании и ремонте транспортных средств i-го класса в t-ый год срока действия контракта в расчете на 1 км пробега (</w:t>
      </w:r>
      <w:r>
        <w:rPr/>
        <w:drawing>
          <wp:inline distT="0" distB="0" distL="0" distR="0">
            <wp:extent cx="336550" cy="278130"/>
            <wp:effectExtent l="0" t="0" r="0" b="0"/>
            <wp:docPr id="240" name="Рисунок 3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Рисунок 322" descr=""/>
                    <pic:cNvPicPr>
                      <a:picLocks noChangeAspect="1" noChangeArrowheads="1"/>
                    </pic:cNvPicPr>
                  </pic:nvPicPr>
                  <pic:blipFill>
                    <a:blip r:embed="rId258"/>
                    <a:stretch>
                      <a:fillRect/>
                    </a:stretch>
                  </pic:blipFill>
                  <pic:spPr bwMode="auto">
                    <a:xfrm>
                      <a:off x="0" y="0"/>
                      <a:ext cx="336550" cy="278130"/>
                    </a:xfrm>
                    <a:prstGeom prst="rect">
                      <a:avLst/>
                    </a:prstGeom>
                  </pic:spPr>
                </pic:pic>
              </a:graphicData>
            </a:graphic>
          </wp:inline>
        </w:drawing>
      </w:r>
      <w:r>
        <w:rPr>
          <w:sz w:val="28"/>
          <w:szCs w:val="28"/>
        </w:rPr>
        <w:t>) определяются по формуле (12).</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2838450" cy="278130"/>
            <wp:effectExtent l="0" t="0" r="0" b="0"/>
            <wp:docPr id="241" name="Рисунок 3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Рисунок 323" descr=""/>
                    <pic:cNvPicPr>
                      <a:picLocks noChangeAspect="1" noChangeArrowheads="1"/>
                    </pic:cNvPicPr>
                  </pic:nvPicPr>
                  <pic:blipFill>
                    <a:blip r:embed="rId259"/>
                    <a:stretch>
                      <a:fillRect/>
                    </a:stretch>
                  </pic:blipFill>
                  <pic:spPr bwMode="auto">
                    <a:xfrm>
                      <a:off x="0" y="0"/>
                      <a:ext cx="2838450" cy="278130"/>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drawing>
          <wp:inline distT="0" distB="0" distL="0" distR="0">
            <wp:extent cx="314325" cy="278130"/>
            <wp:effectExtent l="0" t="0" r="0" b="0"/>
            <wp:docPr id="242" name="Рисунок 3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Рисунок 324" descr=""/>
                    <pic:cNvPicPr>
                      <a:picLocks noChangeAspect="1" noChangeArrowheads="1"/>
                    </pic:cNvPicPr>
                  </pic:nvPicPr>
                  <pic:blipFill>
                    <a:blip r:embed="rId260"/>
                    <a:stretch>
                      <a:fillRect/>
                    </a:stretch>
                  </pic:blipFill>
                  <pic:spPr bwMode="auto">
                    <a:xfrm>
                      <a:off x="0" y="0"/>
                      <a:ext cx="314325" cy="278130"/>
                    </a:xfrm>
                    <a:prstGeom prst="rect">
                      <a:avLst/>
                    </a:prstGeom>
                  </pic:spPr>
                </pic:pic>
              </a:graphicData>
            </a:graphic>
          </wp:inline>
        </w:drawing>
      </w:r>
      <w:r>
        <w:rPr>
          <w:sz w:val="28"/>
          <w:szCs w:val="28"/>
        </w:rPr>
        <w:t xml:space="preserve"> </w:t>
      </w:r>
      <w:r>
        <w:rPr>
          <w:sz w:val="28"/>
          <w:szCs w:val="28"/>
        </w:rPr>
        <w:t xml:space="preserve">- базовые удельные расходы на запасные части и материалы для транспортных средств i-го класса в расчете на 1 км пробега, включая НДС, руб./км (для троллейбусов большого класса принимаются равными не менее 12,6, для троллейбусов особо большого класса </w:t>
      </w:r>
      <w:r>
        <w:rPr>
          <w:rFonts w:eastAsia="" w:cs="Times New Roman" w:eastAsiaTheme="minorEastAsia"/>
          <w:color w:val="auto"/>
          <w:kern w:val="0"/>
          <w:sz w:val="28"/>
          <w:szCs w:val="28"/>
          <w:lang w:val="ru-RU" w:eastAsia="ru-RU" w:bidi="ar-SA"/>
        </w:rPr>
        <w:t>−</w:t>
      </w:r>
      <w:r>
        <w:rPr>
          <w:sz w:val="28"/>
          <w:szCs w:val="28"/>
        </w:rPr>
        <w:t xml:space="preserve"> не менее 16,0);</w:t>
      </w:r>
    </w:p>
    <w:p>
      <w:pPr>
        <w:pStyle w:val="ConsPlusNormal"/>
        <w:spacing w:before="0" w:after="0"/>
        <w:ind w:left="0" w:right="0" w:firstLine="709"/>
        <w:jc w:val="both"/>
        <w:rPr/>
      </w:pPr>
      <w:r>
        <w:rPr/>
        <w:drawing>
          <wp:inline distT="0" distB="0" distL="0" distR="0">
            <wp:extent cx="285115" cy="278130"/>
            <wp:effectExtent l="0" t="0" r="0" b="0"/>
            <wp:docPr id="243" name="Рисунок 3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Рисунок 325" descr=""/>
                    <pic:cNvPicPr>
                      <a:picLocks noChangeAspect="1" noChangeArrowheads="1"/>
                    </pic:cNvPicPr>
                  </pic:nvPicPr>
                  <pic:blipFill>
                    <a:blip r:embed="rId261"/>
                    <a:stretch>
                      <a:fillRect/>
                    </a:stretch>
                  </pic:blipFill>
                  <pic:spPr bwMode="auto">
                    <a:xfrm>
                      <a:off x="0" y="0"/>
                      <a:ext cx="28511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коэффициент корректировки базовых удельных расходов на запасные части и материалы в зависимости от природно-климатических условий (принимается в соответствии с </w:t>
      </w:r>
      <w:hyperlink w:anchor="Par997" w:tgtFrame="Коэффициенты корректировки">
        <w:r>
          <w:rPr>
            <w:sz w:val="28"/>
            <w:szCs w:val="28"/>
          </w:rPr>
          <w:t>таблицей 2</w:t>
        </w:r>
      </w:hyperlink>
      <w:r>
        <w:rPr>
          <w:sz w:val="28"/>
          <w:szCs w:val="28"/>
        </w:rPr>
        <w:t>);</w:t>
      </w:r>
    </w:p>
    <w:p>
      <w:pPr>
        <w:pStyle w:val="ConsPlusNormal"/>
        <w:spacing w:before="0" w:after="0"/>
        <w:ind w:left="0" w:right="0" w:firstLine="709"/>
        <w:jc w:val="both"/>
        <w:rPr/>
      </w:pPr>
      <w:r>
        <w:rPr/>
        <w:drawing>
          <wp:inline distT="0" distB="0" distL="0" distR="0">
            <wp:extent cx="241300" cy="278130"/>
            <wp:effectExtent l="0" t="0" r="0" b="0"/>
            <wp:docPr id="244" name="Рисунок 3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Рисунок 326" descr=""/>
                    <pic:cNvPicPr>
                      <a:picLocks noChangeAspect="1" noChangeArrowheads="1"/>
                    </pic:cNvPicPr>
                  </pic:nvPicPr>
                  <pic:blipFill>
                    <a:blip r:embed="rId109"/>
                    <a:stretch>
                      <a:fillRect/>
                    </a:stretch>
                  </pic:blipFill>
                  <pic:spPr bwMode="auto">
                    <a:xfrm>
                      <a:off x="0" y="0"/>
                      <a:ext cx="24130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индекс цен на машины и оборудование для t-ого года срока действия контракта (принимается равным произведению определяемых Росстатом индексов цен производителей машин и оборудования за период с декабря 2017 года по период, ближайший к началу срока действия контракта, и прогнозного индекса цен производителей на продукцию машиностроения для каждого года срока действия контракта, определяемого Минэкономразвития России в прогнозе социально-экономического развития Российской Федерации (если срок действия контракта превышает срок прогноза, индекс цен производителей на продукцию машиностроения для каждого года срока действия контракта, не указанного в прогнозе, принимается равным индексу цен производителей на продукцию машиностроения, указанному для последнего года прогноза)).</w:t>
      </w:r>
    </w:p>
    <w:p>
      <w:pPr>
        <w:pStyle w:val="ConsPlusNormal"/>
        <w:spacing w:before="0" w:after="0"/>
        <w:ind w:left="0" w:right="0" w:firstLine="709"/>
        <w:jc w:val="both"/>
        <w:rPr/>
      </w:pPr>
      <w:bookmarkStart w:id="55" w:name="Par1045"/>
      <w:bookmarkEnd w:id="55"/>
      <w:r>
        <w:rPr>
          <w:sz w:val="28"/>
          <w:szCs w:val="28"/>
        </w:rPr>
        <w:t>13. Расходы на содержание контактно-кабельной сети в t-ом году срока действия контракта в расчете на 1 км пробега (</w:t>
      </w:r>
      <w:r>
        <w:rPr/>
        <w:drawing>
          <wp:inline distT="0" distB="0" distL="0" distR="0">
            <wp:extent cx="285115" cy="278130"/>
            <wp:effectExtent l="0" t="0" r="0" b="0"/>
            <wp:docPr id="245" name="Рисунок 3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Рисунок 327" descr=""/>
                    <pic:cNvPicPr>
                      <a:picLocks noChangeAspect="1" noChangeArrowheads="1"/>
                    </pic:cNvPicPr>
                  </pic:nvPicPr>
                  <pic:blipFill>
                    <a:blip r:embed="rId262"/>
                    <a:stretch>
                      <a:fillRect/>
                    </a:stretch>
                  </pic:blipFill>
                  <pic:spPr bwMode="auto">
                    <a:xfrm>
                      <a:off x="0" y="0"/>
                      <a:ext cx="285115" cy="278130"/>
                    </a:xfrm>
                    <a:prstGeom prst="rect">
                      <a:avLst/>
                    </a:prstGeom>
                  </pic:spPr>
                </pic:pic>
              </a:graphicData>
            </a:graphic>
          </wp:inline>
        </w:drawing>
      </w:r>
      <w:r>
        <w:rPr>
          <w:sz w:val="28"/>
          <w:szCs w:val="28"/>
        </w:rPr>
        <w:t>) определяются по формуле (13).</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drawing>
          <wp:inline distT="0" distB="0" distL="0" distR="0">
            <wp:extent cx="4572000" cy="285115"/>
            <wp:effectExtent l="0" t="0" r="0" b="0"/>
            <wp:docPr id="246" name="Рисунок 3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Рисунок 328" descr=""/>
                    <pic:cNvPicPr>
                      <a:picLocks noChangeAspect="1" noChangeArrowheads="1"/>
                    </pic:cNvPicPr>
                  </pic:nvPicPr>
                  <pic:blipFill>
                    <a:blip r:embed="rId263"/>
                    <a:stretch>
                      <a:fillRect/>
                    </a:stretch>
                  </pic:blipFill>
                  <pic:spPr bwMode="auto">
                    <a:xfrm>
                      <a:off x="0" y="0"/>
                      <a:ext cx="4572000" cy="285115"/>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sz w:val="28"/>
          <w:szCs w:val="28"/>
        </w:rPr>
        <w:t xml:space="preserve">171 180 </w:t>
      </w:r>
      <w:r>
        <w:rPr>
          <w:rFonts w:eastAsia="" w:cs="Times New Roman" w:eastAsiaTheme="minorEastAsia"/>
          <w:color w:val="auto"/>
          <w:kern w:val="0"/>
          <w:sz w:val="28"/>
          <w:szCs w:val="28"/>
          <w:lang w:val="ru-RU" w:eastAsia="ru-RU" w:bidi="ar-SA"/>
        </w:rPr>
        <w:t>−</w:t>
      </w:r>
      <w:r>
        <w:rPr>
          <w:sz w:val="28"/>
          <w:szCs w:val="28"/>
        </w:rPr>
        <w:t xml:space="preserve"> базовые удельные расходы на содержание контактно-кабельной сети, в однопутном исчислении, руб./км;</w:t>
      </w:r>
    </w:p>
    <w:p>
      <w:pPr>
        <w:pStyle w:val="ConsPlusNormal"/>
        <w:spacing w:before="0" w:after="0"/>
        <w:ind w:left="0" w:right="0" w:firstLine="709"/>
        <w:jc w:val="both"/>
        <w:rPr/>
      </w:pPr>
      <w:r>
        <w:rPr/>
        <w:drawing>
          <wp:inline distT="0" distB="0" distL="0" distR="0">
            <wp:extent cx="219710" cy="278130"/>
            <wp:effectExtent l="0" t="0" r="0" b="0"/>
            <wp:docPr id="247" name="Рисунок 3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Рисунок 329" descr=""/>
                    <pic:cNvPicPr>
                      <a:picLocks noChangeAspect="1" noChangeArrowheads="1"/>
                    </pic:cNvPicPr>
                  </pic:nvPicPr>
                  <pic:blipFill>
                    <a:blip r:embed="rId264"/>
                    <a:stretch>
                      <a:fillRect/>
                    </a:stretch>
                  </pic:blipFill>
                  <pic:spPr bwMode="auto">
                    <a:xfrm>
                      <a:off x="0" y="0"/>
                      <a:ext cx="21971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общая протяженность контактно-кабельной сети в однопутном исчислении, по предусмотренным контрактом маршрутам, км;</w:t>
      </w:r>
    </w:p>
    <w:p>
      <w:pPr>
        <w:pStyle w:val="ConsPlusNormal"/>
        <w:spacing w:before="0" w:after="0"/>
        <w:ind w:left="0" w:right="0" w:firstLine="709"/>
        <w:jc w:val="both"/>
        <w:rPr/>
      </w:pPr>
      <w:r>
        <w:rPr/>
        <w:drawing>
          <wp:inline distT="0" distB="0" distL="0" distR="0">
            <wp:extent cx="314325" cy="285115"/>
            <wp:effectExtent l="0" t="0" r="0" b="0"/>
            <wp:docPr id="248" name="Рисунок 3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Рисунок 330" descr=""/>
                    <pic:cNvPicPr>
                      <a:picLocks noChangeAspect="1" noChangeArrowheads="1"/>
                    </pic:cNvPicPr>
                  </pic:nvPicPr>
                  <pic:blipFill>
                    <a:blip r:embed="rId196"/>
                    <a:stretch>
                      <a:fillRect/>
                    </a:stretch>
                  </pic:blipFill>
                  <pic:spPr bwMode="auto">
                    <a:xfrm>
                      <a:off x="0" y="0"/>
                      <a:ext cx="314325"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коэффициент корректировки базовых удельных расходов на содержание контактно-кабельной сети в зависимости от условий эксплуатации контактно-кабельной сети (принимается в соответствии с </w:t>
      </w:r>
      <w:hyperlink w:anchor="Par1060" w:tgtFrame="Коэффициент корректировки базовых удельных">
        <w:r>
          <w:rPr>
            <w:sz w:val="28"/>
            <w:szCs w:val="28"/>
          </w:rPr>
          <w:t>таблицей 3</w:t>
        </w:r>
      </w:hyperlink>
      <w:r>
        <w:rPr>
          <w:sz w:val="28"/>
          <w:szCs w:val="28"/>
        </w:rPr>
        <w:t>);</w:t>
      </w:r>
    </w:p>
    <w:p>
      <w:pPr>
        <w:pStyle w:val="ConsPlusNormal"/>
        <w:spacing w:before="0" w:after="0"/>
        <w:ind w:left="0" w:right="0" w:firstLine="709"/>
        <w:jc w:val="both"/>
        <w:rPr/>
      </w:pPr>
      <w:r>
        <w:rPr/>
        <w:drawing>
          <wp:inline distT="0" distB="0" distL="0" distR="0">
            <wp:extent cx="358140" cy="285115"/>
            <wp:effectExtent l="0" t="0" r="0" b="0"/>
            <wp:docPr id="249" name="Рисунок 3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Рисунок 331" descr=""/>
                    <pic:cNvPicPr>
                      <a:picLocks noChangeAspect="1" noChangeArrowheads="1"/>
                    </pic:cNvPicPr>
                  </pic:nvPicPr>
                  <pic:blipFill>
                    <a:blip r:embed="rId265"/>
                    <a:stretch>
                      <a:fillRect/>
                    </a:stretch>
                  </pic:blipFill>
                  <pic:spPr bwMode="auto">
                    <a:xfrm>
                      <a:off x="0" y="0"/>
                      <a:ext cx="358140"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 xml:space="preserve">коэффициент корректирования базовых удельных расходов на содержание контактно-кабельной сети в зависимости от природно-климатических условий (принимается в соответствии с </w:t>
      </w:r>
      <w:hyperlink w:anchor="Par1085" w:tgtFrame="Коэффициент корректирования базовых удельных">
        <w:r>
          <w:rPr>
            <w:sz w:val="28"/>
            <w:szCs w:val="28"/>
          </w:rPr>
          <w:t>таблицей 4</w:t>
        </w:r>
      </w:hyperlink>
      <w:r>
        <w:rPr>
          <w:sz w:val="28"/>
          <w:szCs w:val="28"/>
        </w:rPr>
        <w:t>);</w:t>
      </w:r>
    </w:p>
    <w:p>
      <w:pPr>
        <w:pStyle w:val="ConsPlusNormal"/>
        <w:spacing w:before="0" w:after="0"/>
        <w:ind w:left="0" w:right="0" w:firstLine="709"/>
        <w:jc w:val="both"/>
        <w:rPr/>
      </w:pPr>
      <w:r>
        <w:rPr/>
        <w:drawing>
          <wp:inline distT="0" distB="0" distL="0" distR="0">
            <wp:extent cx="241300" cy="278130"/>
            <wp:effectExtent l="0" t="0" r="0" b="0"/>
            <wp:docPr id="250" name="Рисунок 3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Рисунок 332" descr=""/>
                    <pic:cNvPicPr>
                      <a:picLocks noChangeAspect="1" noChangeArrowheads="1"/>
                    </pic:cNvPicPr>
                  </pic:nvPicPr>
                  <pic:blipFill>
                    <a:blip r:embed="rId109"/>
                    <a:stretch>
                      <a:fillRect/>
                    </a:stretch>
                  </pic:blipFill>
                  <pic:spPr bwMode="auto">
                    <a:xfrm>
                      <a:off x="0" y="0"/>
                      <a:ext cx="24130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индекс цен на машины и оборудование для t-ого года срока действия контракта (принимается равным произведению определяемых Росстатом индексов цен производителей машин и оборудования за период с декабря 2017 года по период, ближайший к началу срока действия контракта, и прогнозного индекса цен производителей на продукцию машиностроения для каждого года срока действия контракта, определяемого Минэкономразвития России в прогнозе социально-экономического развития Российской Федерации (если срок действия контракта превышает срок прогноза, индекс цен производителей на продукцию машиностроения для каждого года срока действия контракта, не указанного в прогнозе, принимается равным индексу цен производителей на продукцию машиностроения, указанному для последнего года прогноза));</w:t>
      </w:r>
    </w:p>
    <w:p>
      <w:pPr>
        <w:pStyle w:val="ConsPlusNormal"/>
        <w:spacing w:before="0" w:after="0"/>
        <w:ind w:left="0" w:right="0" w:firstLine="709"/>
        <w:jc w:val="both"/>
        <w:rPr/>
      </w:pPr>
      <w:r>
        <w:rPr/>
        <w:drawing>
          <wp:inline distT="0" distB="0" distL="0" distR="0">
            <wp:extent cx="424180" cy="285115"/>
            <wp:effectExtent l="0" t="0" r="0" b="0"/>
            <wp:docPr id="251" name="Рисунок 2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Рисунок 266" descr=""/>
                    <pic:cNvPicPr>
                      <a:picLocks noChangeAspect="1" noChangeArrowheads="1"/>
                    </pic:cNvPicPr>
                  </pic:nvPicPr>
                  <pic:blipFill>
                    <a:blip r:embed="rId195"/>
                    <a:stretch>
                      <a:fillRect/>
                    </a:stretch>
                  </pic:blipFill>
                  <pic:spPr bwMode="auto">
                    <a:xfrm>
                      <a:off x="0" y="0"/>
                      <a:ext cx="424180"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суммарный планируемый пробег троллейбуса всех классов по всем маршрутам, предусмотренным Документом планирования перевозок, в t-ом году срока действия контракта (может определяться в соответствии с длиной рейсов и частотой движения по периодам суток и дням недели, установленными Документом планирования регулярных перевозок для каждого из маршрутов, с учетом планируемых изменений трасс и параметров движения в период исполнения контракта), км.</w:t>
      </w:r>
    </w:p>
    <w:p>
      <w:pPr>
        <w:pStyle w:val="ConsPlusNormal"/>
        <w:spacing w:before="0" w:after="0"/>
        <w:ind w:left="0" w:right="0" w:firstLine="709"/>
        <w:jc w:val="both"/>
        <w:rPr>
          <w:sz w:val="28"/>
          <w:szCs w:val="28"/>
        </w:rPr>
      </w:pPr>
      <w:r>
        <w:rPr>
          <w:sz w:val="28"/>
          <w:szCs w:val="28"/>
        </w:rPr>
      </w:r>
    </w:p>
    <w:p>
      <w:pPr>
        <w:pStyle w:val="ConsPlusNormal"/>
        <w:numPr>
          <w:ilvl w:val="0"/>
          <w:numId w:val="0"/>
        </w:numPr>
        <w:spacing w:before="0" w:after="0"/>
        <w:ind w:left="0" w:right="0" w:firstLine="709"/>
        <w:jc w:val="right"/>
        <w:outlineLvl w:val="2"/>
        <w:rPr/>
      </w:pPr>
      <w:r>
        <w:rPr>
          <w:sz w:val="28"/>
          <w:szCs w:val="28"/>
        </w:rPr>
        <w:t>Таблица 3</w:t>
      </w:r>
    </w:p>
    <w:p>
      <w:pPr>
        <w:pStyle w:val="ConsPlusNormal"/>
        <w:spacing w:before="0" w:after="0"/>
        <w:ind w:left="0" w:right="0" w:firstLine="709"/>
        <w:jc w:val="both"/>
        <w:rPr>
          <w:sz w:val="28"/>
          <w:szCs w:val="28"/>
        </w:rPr>
      </w:pPr>
      <w:r>
        <w:rPr>
          <w:sz w:val="28"/>
          <w:szCs w:val="28"/>
        </w:rPr>
      </w:r>
    </w:p>
    <w:p>
      <w:pPr>
        <w:pStyle w:val="ConsPlusTitle"/>
        <w:widowControl w:val="false"/>
        <w:suppressAutoHyphens w:val="true"/>
        <w:bidi w:val="0"/>
        <w:spacing w:before="0" w:after="0"/>
        <w:ind w:left="0" w:right="0" w:hanging="0"/>
        <w:jc w:val="center"/>
        <w:rPr/>
      </w:pPr>
      <w:bookmarkStart w:id="56" w:name="Par1060"/>
      <w:bookmarkEnd w:id="56"/>
      <w:r>
        <w:rPr>
          <w:rFonts w:cs="Times New Roman" w:ascii="Times New Roman" w:hAnsi="Times New Roman"/>
          <w:sz w:val="28"/>
          <w:szCs w:val="28"/>
        </w:rPr>
        <w:t>Коэффициент корректировки базовых удельных</w:t>
      </w:r>
    </w:p>
    <w:p>
      <w:pPr>
        <w:pStyle w:val="ConsPlusTitle"/>
        <w:widowControl w:val="false"/>
        <w:suppressAutoHyphens w:val="true"/>
        <w:bidi w:val="0"/>
        <w:spacing w:before="0" w:after="0"/>
        <w:ind w:left="0" w:right="0" w:hanging="0"/>
        <w:jc w:val="center"/>
        <w:rPr/>
      </w:pPr>
      <w:r>
        <w:rPr>
          <w:rFonts w:cs="Times New Roman" w:ascii="Times New Roman" w:hAnsi="Times New Roman"/>
          <w:sz w:val="28"/>
          <w:szCs w:val="28"/>
        </w:rPr>
        <w:t>расходов на содержание контактно-кабельной сети</w:t>
      </w:r>
    </w:p>
    <w:p>
      <w:pPr>
        <w:pStyle w:val="ConsPlusTitle"/>
        <w:widowControl w:val="false"/>
        <w:suppressAutoHyphens w:val="true"/>
        <w:bidi w:val="0"/>
        <w:spacing w:before="0" w:after="0"/>
        <w:ind w:left="0" w:right="0" w:hanging="0"/>
        <w:jc w:val="center"/>
        <w:rPr/>
      </w:pPr>
      <w:r>
        <w:rPr>
          <w:rFonts w:cs="Times New Roman" w:ascii="Times New Roman" w:hAnsi="Times New Roman"/>
          <w:sz w:val="28"/>
          <w:szCs w:val="28"/>
        </w:rPr>
        <w:t>в зависимости от условий эксплуатации</w:t>
      </w:r>
    </w:p>
    <w:p>
      <w:pPr>
        <w:pStyle w:val="ConsPlusTitle"/>
        <w:widowControl w:val="false"/>
        <w:suppressAutoHyphens w:val="true"/>
        <w:bidi w:val="0"/>
        <w:spacing w:before="0" w:after="0"/>
        <w:ind w:left="0" w:right="0" w:hanging="0"/>
        <w:jc w:val="center"/>
        <w:rPr/>
      </w:pPr>
      <w:r>
        <w:rPr>
          <w:rFonts w:cs="Times New Roman" w:ascii="Times New Roman" w:hAnsi="Times New Roman"/>
          <w:sz w:val="28"/>
          <w:szCs w:val="28"/>
        </w:rPr>
        <w:t>контактно-кабельной сети (</w:t>
      </w:r>
      <w:r>
        <w:rPr>
          <w:rFonts w:cs="Times New Roman" w:ascii="Times New Roman" w:hAnsi="Times New Roman"/>
          <w:i/>
          <w:iCs/>
          <w:sz w:val="28"/>
          <w:szCs w:val="28"/>
        </w:rPr>
        <w:t>К</w:t>
      </w:r>
      <w:r>
        <w:rPr>
          <w:rFonts w:cs="Times New Roman" w:ascii="Times New Roman" w:hAnsi="Times New Roman"/>
          <w:i/>
          <w:iCs/>
          <w:sz w:val="28"/>
          <w:szCs w:val="28"/>
          <w:vertAlign w:val="subscript"/>
        </w:rPr>
        <w:t>уэ</w:t>
      </w:r>
      <w:r>
        <w:rPr>
          <w:rFonts w:cs="Times New Roman" w:ascii="Times New Roman" w:hAnsi="Times New Roman"/>
          <w:sz w:val="28"/>
          <w:szCs w:val="28"/>
        </w:rPr>
        <w:t>)</w:t>
      </w:r>
    </w:p>
    <w:p>
      <w:pPr>
        <w:pStyle w:val="ConsPlusNormal"/>
        <w:spacing w:before="0" w:after="0"/>
        <w:ind w:left="0" w:right="0" w:firstLine="709"/>
        <w:jc w:val="both"/>
        <w:rPr>
          <w:sz w:val="28"/>
          <w:szCs w:val="28"/>
        </w:rPr>
      </w:pPr>
      <w:r>
        <w:rPr>
          <w:sz w:val="28"/>
          <w:szCs w:val="28"/>
        </w:rPr>
      </w:r>
    </w:p>
    <w:tbl>
      <w:tblPr>
        <w:tblW w:w="9289" w:type="dxa"/>
        <w:jc w:val="left"/>
        <w:tblInd w:w="62" w:type="dxa"/>
        <w:tblLayout w:type="fixed"/>
        <w:tblCellMar>
          <w:top w:w="102" w:type="dxa"/>
          <w:left w:w="62" w:type="dxa"/>
          <w:bottom w:w="102" w:type="dxa"/>
          <w:right w:w="62" w:type="dxa"/>
        </w:tblCellMar>
        <w:tblLook w:val="0000" w:noVBand="0" w:noHBand="0" w:lastColumn="0" w:firstColumn="0" w:lastRow="0" w:firstRow="0"/>
      </w:tblPr>
      <w:tblGrid>
        <w:gridCol w:w="509"/>
        <w:gridCol w:w="7079"/>
        <w:gridCol w:w="1701"/>
      </w:tblGrid>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 xml:space="preserve">№ </w:t>
            </w:r>
            <w:r>
              <w:rPr>
                <w:sz w:val="28"/>
                <w:szCs w:val="28"/>
              </w:rPr>
              <w:t>п/п</w:t>
            </w:r>
          </w:p>
        </w:tc>
        <w:tc>
          <w:tcPr>
            <w:tcW w:w="707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Условия эксплуатации</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pPr>
            <w:r>
              <w:rPr>
                <w:rFonts w:cs="Times New Roman"/>
                <w:i/>
                <w:iCs/>
                <w:sz w:val="28"/>
                <w:szCs w:val="28"/>
              </w:rPr>
              <w:t>К</w:t>
            </w:r>
            <w:r>
              <w:rPr>
                <w:rFonts w:cs="Times New Roman"/>
                <w:i/>
                <w:iCs/>
                <w:sz w:val="28"/>
                <w:szCs w:val="28"/>
                <w:vertAlign w:val="subscript"/>
              </w:rPr>
              <w:t>уэ</w:t>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w:t>
            </w:r>
          </w:p>
        </w:tc>
        <w:tc>
          <w:tcPr>
            <w:tcW w:w="707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rPr>
                <w:sz w:val="28"/>
                <w:szCs w:val="28"/>
              </w:rPr>
            </w:pPr>
            <w:r>
              <w:rPr>
                <w:sz w:val="28"/>
                <w:szCs w:val="28"/>
              </w:rPr>
              <w:t>Отсутствие уклонов более 3 %, средний уклон менее 1 %</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1,0</w:t>
            </w:r>
          </w:p>
        </w:tc>
      </w:tr>
      <w:tr>
        <w:trPr/>
        <w:tc>
          <w:tcPr>
            <w:tcW w:w="50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2</w:t>
            </w:r>
          </w:p>
        </w:tc>
        <w:tc>
          <w:tcPr>
            <w:tcW w:w="7079"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rPr>
                <w:sz w:val="28"/>
                <w:szCs w:val="28"/>
              </w:rPr>
            </w:pPr>
            <w:r>
              <w:rPr>
                <w:sz w:val="28"/>
                <w:szCs w:val="28"/>
              </w:rPr>
              <w:t>Наличие участков с тяжелыми условиями движения (уклонами более 3 %, средний уклон более 1 %)</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1,05</w:t>
            </w:r>
          </w:p>
        </w:tc>
      </w:tr>
    </w:tbl>
    <w:p>
      <w:pPr>
        <w:pStyle w:val="ConsPlusNormal"/>
        <w:spacing w:before="0" w:after="0"/>
        <w:ind w:left="0" w:right="0" w:firstLine="709"/>
        <w:jc w:val="both"/>
        <w:rPr>
          <w:sz w:val="28"/>
          <w:szCs w:val="28"/>
        </w:rPr>
      </w:pPr>
      <w:r>
        <w:rPr>
          <w:sz w:val="28"/>
          <w:szCs w:val="28"/>
        </w:rPr>
      </w:r>
    </w:p>
    <w:p>
      <w:pPr>
        <w:pStyle w:val="ConsPlusNormal"/>
        <w:numPr>
          <w:ilvl w:val="0"/>
          <w:numId w:val="0"/>
        </w:numPr>
        <w:spacing w:before="0" w:after="0"/>
        <w:ind w:left="0" w:right="0" w:firstLine="709"/>
        <w:jc w:val="right"/>
        <w:outlineLvl w:val="2"/>
        <w:rPr/>
      </w:pPr>
      <w:r>
        <w:rPr/>
      </w:r>
    </w:p>
    <w:p>
      <w:pPr>
        <w:pStyle w:val="ConsPlusNormal"/>
        <w:numPr>
          <w:ilvl w:val="0"/>
          <w:numId w:val="0"/>
        </w:numPr>
        <w:spacing w:before="0" w:after="0"/>
        <w:ind w:left="0" w:right="0" w:firstLine="709"/>
        <w:jc w:val="right"/>
        <w:outlineLvl w:val="2"/>
        <w:rPr/>
      </w:pPr>
      <w:r>
        <w:rPr/>
      </w:r>
    </w:p>
    <w:p>
      <w:pPr>
        <w:pStyle w:val="ConsPlusNormal"/>
        <w:numPr>
          <w:ilvl w:val="0"/>
          <w:numId w:val="0"/>
        </w:numPr>
        <w:spacing w:before="0" w:after="0"/>
        <w:ind w:left="0" w:right="0" w:firstLine="709"/>
        <w:jc w:val="right"/>
        <w:outlineLvl w:val="2"/>
        <w:rPr/>
      </w:pPr>
      <w:r>
        <w:rPr/>
      </w:r>
    </w:p>
    <w:p>
      <w:pPr>
        <w:pStyle w:val="ConsPlusNormal"/>
        <w:numPr>
          <w:ilvl w:val="0"/>
          <w:numId w:val="0"/>
        </w:numPr>
        <w:spacing w:before="0" w:after="0"/>
        <w:ind w:left="0" w:right="0" w:firstLine="709"/>
        <w:jc w:val="right"/>
        <w:outlineLvl w:val="2"/>
        <w:rPr/>
      </w:pPr>
      <w:r>
        <w:rPr/>
      </w:r>
    </w:p>
    <w:p>
      <w:pPr>
        <w:pStyle w:val="ConsPlusNormal"/>
        <w:numPr>
          <w:ilvl w:val="0"/>
          <w:numId w:val="0"/>
        </w:numPr>
        <w:spacing w:before="0" w:after="0"/>
        <w:ind w:left="0" w:right="0" w:firstLine="709"/>
        <w:jc w:val="right"/>
        <w:outlineLvl w:val="2"/>
        <w:rPr/>
      </w:pPr>
      <w:r>
        <w:rPr>
          <w:sz w:val="28"/>
          <w:szCs w:val="28"/>
        </w:rPr>
        <w:t>Таблица 4</w:t>
      </w:r>
    </w:p>
    <w:p>
      <w:pPr>
        <w:pStyle w:val="ConsPlusNormal"/>
        <w:spacing w:before="0" w:after="0"/>
        <w:ind w:left="0" w:right="0" w:firstLine="709"/>
        <w:jc w:val="both"/>
        <w:rPr>
          <w:sz w:val="28"/>
          <w:szCs w:val="28"/>
        </w:rPr>
      </w:pPr>
      <w:r>
        <w:rPr>
          <w:sz w:val="28"/>
          <w:szCs w:val="28"/>
        </w:rPr>
      </w:r>
    </w:p>
    <w:p>
      <w:pPr>
        <w:pStyle w:val="ConsPlusTitle"/>
        <w:widowControl w:val="false"/>
        <w:suppressAutoHyphens w:val="true"/>
        <w:bidi w:val="0"/>
        <w:spacing w:before="0" w:after="0"/>
        <w:ind w:left="0" w:right="0" w:hanging="0"/>
        <w:jc w:val="center"/>
        <w:rPr/>
      </w:pPr>
      <w:bookmarkStart w:id="57" w:name="Par1085"/>
      <w:bookmarkEnd w:id="57"/>
      <w:r>
        <w:rPr>
          <w:rFonts w:cs="Times New Roman" w:ascii="Times New Roman" w:hAnsi="Times New Roman"/>
          <w:sz w:val="28"/>
          <w:szCs w:val="28"/>
        </w:rPr>
        <w:t>Коэффициент корректирования базовых удельных расходов</w:t>
      </w:r>
    </w:p>
    <w:p>
      <w:pPr>
        <w:pStyle w:val="ConsPlusTitle"/>
        <w:widowControl w:val="false"/>
        <w:suppressAutoHyphens w:val="true"/>
        <w:bidi w:val="0"/>
        <w:spacing w:before="0" w:after="0"/>
        <w:ind w:left="0" w:right="0" w:hanging="0"/>
        <w:jc w:val="center"/>
        <w:rPr/>
      </w:pPr>
      <w:r>
        <w:rPr>
          <w:rFonts w:cs="Times New Roman" w:ascii="Times New Roman" w:hAnsi="Times New Roman"/>
          <w:sz w:val="28"/>
          <w:szCs w:val="28"/>
        </w:rPr>
        <w:t xml:space="preserve"> </w:t>
      </w:r>
      <w:r>
        <w:rPr>
          <w:rFonts w:cs="Times New Roman" w:ascii="Times New Roman" w:hAnsi="Times New Roman"/>
          <w:sz w:val="28"/>
          <w:szCs w:val="28"/>
        </w:rPr>
        <w:t>на содержание контактно-кабельной сети</w:t>
      </w:r>
    </w:p>
    <w:p>
      <w:pPr>
        <w:pStyle w:val="ConsPlusTitle"/>
        <w:widowControl w:val="false"/>
        <w:suppressAutoHyphens w:val="true"/>
        <w:bidi w:val="0"/>
        <w:spacing w:before="0" w:after="0"/>
        <w:ind w:left="0" w:right="0" w:hanging="0"/>
        <w:jc w:val="center"/>
        <w:rPr/>
      </w:pPr>
      <w:r>
        <w:rPr>
          <w:rFonts w:cs="Times New Roman" w:ascii="Times New Roman" w:hAnsi="Times New Roman"/>
          <w:sz w:val="28"/>
          <w:szCs w:val="28"/>
        </w:rPr>
        <w:t>в зависимости от природно-климатических условий (</w:t>
      </w:r>
      <w:r>
        <w:rPr>
          <w:rFonts w:cs="Times New Roman" w:ascii="Times New Roman" w:hAnsi="Times New Roman"/>
          <w:i/>
          <w:iCs/>
          <w:sz w:val="28"/>
          <w:szCs w:val="28"/>
        </w:rPr>
        <w:t>К</w:t>
      </w:r>
      <w:r>
        <w:rPr>
          <w:rFonts w:cs="Times New Roman" w:ascii="Times New Roman" w:hAnsi="Times New Roman"/>
          <w:i/>
          <w:iCs/>
          <w:sz w:val="28"/>
          <w:szCs w:val="28"/>
          <w:vertAlign w:val="subscript"/>
        </w:rPr>
        <w:t>пку</w:t>
      </w:r>
      <w:r>
        <w:rPr>
          <w:rFonts w:cs="Times New Roman" w:ascii="Times New Roman" w:hAnsi="Times New Roman"/>
          <w:sz w:val="28"/>
          <w:szCs w:val="28"/>
        </w:rPr>
        <w:t>)</w:t>
      </w:r>
    </w:p>
    <w:p>
      <w:pPr>
        <w:pStyle w:val="ConsPlusNormal"/>
        <w:spacing w:before="0" w:after="0"/>
        <w:ind w:left="0" w:right="0" w:firstLine="709"/>
        <w:jc w:val="both"/>
        <w:rPr>
          <w:sz w:val="28"/>
          <w:szCs w:val="28"/>
        </w:rPr>
      </w:pPr>
      <w:r>
        <w:rPr>
          <w:sz w:val="28"/>
          <w:szCs w:val="28"/>
        </w:rPr>
      </w:r>
    </w:p>
    <w:tbl>
      <w:tblPr>
        <w:tblW w:w="9810" w:type="dxa"/>
        <w:jc w:val="left"/>
        <w:tblInd w:w="62" w:type="dxa"/>
        <w:tblLayout w:type="fixed"/>
        <w:tblCellMar>
          <w:top w:w="102" w:type="dxa"/>
          <w:left w:w="62" w:type="dxa"/>
          <w:bottom w:w="102" w:type="dxa"/>
          <w:right w:w="62" w:type="dxa"/>
        </w:tblCellMar>
        <w:tblLook w:val="0000" w:noVBand="0" w:noHBand="0" w:lastColumn="0" w:firstColumn="0" w:lastRow="0" w:firstRow="0"/>
      </w:tblPr>
      <w:tblGrid>
        <w:gridCol w:w="565"/>
        <w:gridCol w:w="8165"/>
        <w:gridCol w:w="1080"/>
      </w:tblGrid>
      <w:tr>
        <w:trPr/>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 xml:space="preserve">№ </w:t>
            </w:r>
            <w:r>
              <w:rPr>
                <w:sz w:val="28"/>
                <w:szCs w:val="28"/>
              </w:rPr>
              <w:t>п/п</w:t>
            </w:r>
          </w:p>
        </w:tc>
        <w:tc>
          <w:tcPr>
            <w:tcW w:w="816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Субъект Российской Федерации, особенности территории</w:t>
            </w:r>
          </w:p>
        </w:tc>
        <w:tc>
          <w:tcPr>
            <w:tcW w:w="1080"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pPr>
            <w:r>
              <w:rPr>
                <w:rFonts w:cs="Times New Roman"/>
                <w:i/>
                <w:iCs/>
                <w:sz w:val="28"/>
                <w:szCs w:val="28"/>
              </w:rPr>
              <w:t>К</w:t>
            </w:r>
            <w:r>
              <w:rPr>
                <w:rFonts w:cs="Times New Roman"/>
                <w:i/>
                <w:iCs/>
                <w:sz w:val="28"/>
                <w:szCs w:val="28"/>
                <w:vertAlign w:val="subscript"/>
              </w:rPr>
              <w:t>пку</w:t>
            </w:r>
          </w:p>
        </w:tc>
      </w:tr>
      <w:tr>
        <w:trPr/>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w:t>
            </w:r>
          </w:p>
        </w:tc>
        <w:tc>
          <w:tcPr>
            <w:tcW w:w="816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rPr>
                <w:sz w:val="28"/>
                <w:szCs w:val="28"/>
              </w:rPr>
            </w:pPr>
            <w:r>
              <w:rPr>
                <w:sz w:val="28"/>
                <w:szCs w:val="28"/>
              </w:rPr>
              <w:t>Республика Алтай, Республика Башкортостан, Республика Бурятия, Республика Карелия, Республика Коми, Республика Тыва, Удмуртская Республика, Республика Хакасия; Алтайский, Забайкальский, Камчатский, Красноярский, Пермский, Приморский, Хабаровский края; Амурская, Архангельская, Иркутская, Кемеровская, Курганская, Мурманская, Новосибирская, Омская, Сахалинская, Свердловская, Томская, Тюменская, Челябинская области; Ненецкий автономный округ, Ханты-Мансийский автономный округ - Югра, Ямало-Ненецкий автономный округ</w:t>
            </w:r>
          </w:p>
        </w:tc>
        <w:tc>
          <w:tcPr>
            <w:tcW w:w="1080"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1,05</w:t>
            </w:r>
          </w:p>
        </w:tc>
      </w:tr>
      <w:tr>
        <w:trPr/>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2</w:t>
            </w:r>
          </w:p>
        </w:tc>
        <w:tc>
          <w:tcPr>
            <w:tcW w:w="816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rPr>
                <w:sz w:val="28"/>
                <w:szCs w:val="28"/>
              </w:rPr>
            </w:pPr>
            <w:r>
              <w:rPr>
                <w:sz w:val="28"/>
                <w:szCs w:val="28"/>
              </w:rPr>
              <w:t>Прибрежные районы морей с шириной полосы до 5 км</w:t>
            </w:r>
          </w:p>
        </w:tc>
        <w:tc>
          <w:tcPr>
            <w:tcW w:w="1080"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1,05</w:t>
            </w:r>
          </w:p>
        </w:tc>
      </w:tr>
      <w:tr>
        <w:trPr/>
        <w:tc>
          <w:tcPr>
            <w:tcW w:w="56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3</w:t>
            </w:r>
          </w:p>
        </w:tc>
        <w:tc>
          <w:tcPr>
            <w:tcW w:w="8165"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rPr>
                <w:sz w:val="28"/>
                <w:szCs w:val="28"/>
              </w:rPr>
            </w:pPr>
            <w:r>
              <w:rPr>
                <w:sz w:val="28"/>
                <w:szCs w:val="28"/>
              </w:rPr>
              <w:t>Прочие субъекты Российской Федерации</w:t>
            </w:r>
          </w:p>
        </w:tc>
        <w:tc>
          <w:tcPr>
            <w:tcW w:w="1080"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center"/>
              <w:rPr>
                <w:sz w:val="28"/>
                <w:szCs w:val="28"/>
              </w:rPr>
            </w:pPr>
            <w:r>
              <w:rPr>
                <w:sz w:val="28"/>
                <w:szCs w:val="28"/>
              </w:rPr>
              <w:t>1,0</w:t>
            </w:r>
          </w:p>
        </w:tc>
      </w:tr>
    </w:tbl>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bookmarkStart w:id="58" w:name="Par1102"/>
      <w:bookmarkEnd w:id="58"/>
      <w:r>
        <w:rPr>
          <w:sz w:val="28"/>
          <w:szCs w:val="28"/>
        </w:rPr>
        <w:t>14. Расходы на содержание тяговых подстанций в t-ом году срока действия контракта в расчете на 1 км пробега (</w:t>
      </w:r>
      <w:r>
        <w:rPr>
          <w:i/>
          <w:iCs/>
          <w:sz w:val="28"/>
          <w:szCs w:val="28"/>
        </w:rPr>
        <w:t>Р</w:t>
      </w:r>
      <w:r>
        <w:rPr>
          <w:i/>
          <w:iCs/>
          <w:sz w:val="28"/>
          <w:szCs w:val="28"/>
          <w:vertAlign w:val="subscript"/>
        </w:rPr>
        <w:t>ТПt</w:t>
      </w:r>
      <w:r>
        <w:rPr>
          <w:sz w:val="28"/>
          <w:szCs w:val="28"/>
        </w:rPr>
        <w:t>) определяются по формуле (14).</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drawing>
          <wp:inline distT="0" distB="0" distL="0" distR="0">
            <wp:extent cx="3372485" cy="285115"/>
            <wp:effectExtent l="0" t="0" r="0" b="0"/>
            <wp:docPr id="252" name="Рисунок 3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Рисунок 339" descr=""/>
                    <pic:cNvPicPr>
                      <a:picLocks noChangeAspect="1" noChangeArrowheads="1"/>
                    </pic:cNvPicPr>
                  </pic:nvPicPr>
                  <pic:blipFill>
                    <a:blip r:embed="rId266"/>
                    <a:stretch>
                      <a:fillRect/>
                    </a:stretch>
                  </pic:blipFill>
                  <pic:spPr bwMode="auto">
                    <a:xfrm>
                      <a:off x="0" y="0"/>
                      <a:ext cx="3372485" cy="285115"/>
                    </a:xfrm>
                    <a:prstGeom prst="rect">
                      <a:avLst/>
                    </a:prstGeom>
                  </pic:spPr>
                </pic:pic>
              </a:graphicData>
            </a:graphic>
          </wp:inline>
        </w:drawing>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sz w:val="28"/>
          <w:szCs w:val="28"/>
        </w:rPr>
        <w:t xml:space="preserve">371 </w:t>
      </w:r>
      <w:r>
        <w:rPr>
          <w:rFonts w:eastAsia="" w:cs="Times New Roman" w:eastAsiaTheme="minorEastAsia"/>
          <w:color w:val="auto"/>
          <w:kern w:val="0"/>
          <w:sz w:val="28"/>
          <w:szCs w:val="28"/>
          <w:lang w:val="ru-RU" w:eastAsia="ru-RU" w:bidi="ar-SA"/>
        </w:rPr>
        <w:t>−</w:t>
      </w:r>
      <w:r>
        <w:rPr>
          <w:sz w:val="28"/>
          <w:szCs w:val="28"/>
        </w:rPr>
        <w:t xml:space="preserve"> базовые удельные расходы на содержание тяговых подстанций,</w:t>
        <w:br/>
        <w:t>руб./1 кВт установленной мощности тяговых подстанций;</w:t>
      </w:r>
    </w:p>
    <w:p>
      <w:pPr>
        <w:pStyle w:val="ConsPlusNormal"/>
        <w:spacing w:before="0" w:after="0"/>
        <w:ind w:left="0" w:right="0" w:firstLine="709"/>
        <w:jc w:val="both"/>
        <w:rPr/>
      </w:pPr>
      <w:r>
        <w:rPr/>
        <w:drawing>
          <wp:inline distT="0" distB="0" distL="0" distR="0">
            <wp:extent cx="336550" cy="278130"/>
            <wp:effectExtent l="0" t="0" r="0" b="0"/>
            <wp:docPr id="253" name="Рисунок 3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Рисунок 340" descr=""/>
                    <pic:cNvPicPr>
                      <a:picLocks noChangeAspect="1" noChangeArrowheads="1"/>
                    </pic:cNvPicPr>
                  </pic:nvPicPr>
                  <pic:blipFill>
                    <a:blip r:embed="rId267"/>
                    <a:stretch>
                      <a:fillRect/>
                    </a:stretch>
                  </pic:blipFill>
                  <pic:spPr bwMode="auto">
                    <a:xfrm>
                      <a:off x="0" y="0"/>
                      <a:ext cx="33655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установленная мощность тяговых подстанций для предусмотренных контрактом маршрутов, кВт;</w:t>
      </w:r>
    </w:p>
    <w:p>
      <w:pPr>
        <w:pStyle w:val="ConsPlusNormal"/>
        <w:spacing w:before="0" w:after="0"/>
        <w:ind w:left="0" w:right="0" w:firstLine="709"/>
        <w:jc w:val="both"/>
        <w:rPr/>
      </w:pPr>
      <w:r>
        <w:rPr/>
        <w:drawing>
          <wp:inline distT="0" distB="0" distL="0" distR="0">
            <wp:extent cx="241300" cy="278130"/>
            <wp:effectExtent l="0" t="0" r="0" b="0"/>
            <wp:docPr id="254" name="Рисунок 3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Рисунок 341" descr=""/>
                    <pic:cNvPicPr>
                      <a:picLocks noChangeAspect="1" noChangeArrowheads="1"/>
                    </pic:cNvPicPr>
                  </pic:nvPicPr>
                  <pic:blipFill>
                    <a:blip r:embed="rId109"/>
                    <a:stretch>
                      <a:fillRect/>
                    </a:stretch>
                  </pic:blipFill>
                  <pic:spPr bwMode="auto">
                    <a:xfrm>
                      <a:off x="0" y="0"/>
                      <a:ext cx="24130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индекс цен на машины и оборудование для t-ого года срока действия контракта (принимается равным произведению определяемых Росстатом индексов цен производителей машин и оборудования за период с декабря 2017 года по период, ближайший к началу срока действия контракта, и прогнозного индекса цен производителей на продукцию машиностроения для каждого года срока действия контракта, определяемого Минэкономразвития России в прогнозе социально-экономического развития Российской Федерации (если срок действия контракта превышает срок прогноза, индекс цен производителей на продукцию машиностроения для каждого года срока действия контракта, не указанного в прогнозе, принимается равным индексу цен производителей на продукцию машиностроения, указанному для последнего года прогноза));</w:t>
      </w:r>
    </w:p>
    <w:p>
      <w:pPr>
        <w:pStyle w:val="ConsPlusNormal"/>
        <w:spacing w:before="0" w:after="0"/>
        <w:ind w:left="0" w:right="0" w:firstLine="709"/>
        <w:jc w:val="both"/>
        <w:rPr/>
      </w:pPr>
      <w:r>
        <w:rPr/>
        <w:drawing>
          <wp:inline distT="0" distB="0" distL="0" distR="0">
            <wp:extent cx="424180" cy="285115"/>
            <wp:effectExtent l="0" t="0" r="0" b="0"/>
            <wp:docPr id="255" name="Рисунок 2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Рисунок 267" descr=""/>
                    <pic:cNvPicPr>
                      <a:picLocks noChangeAspect="1" noChangeArrowheads="1"/>
                    </pic:cNvPicPr>
                  </pic:nvPicPr>
                  <pic:blipFill>
                    <a:blip r:embed="rId195"/>
                    <a:stretch>
                      <a:fillRect/>
                    </a:stretch>
                  </pic:blipFill>
                  <pic:spPr bwMode="auto">
                    <a:xfrm>
                      <a:off x="0" y="0"/>
                      <a:ext cx="424180"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суммарный планируемый пробег троллейбуса всех классов по всем маршрутам, предусмотренным Документом планирования перевозок, в t-ом году срока действия контракта (может определяться в соответствии с длиной рейсов и частотой движения по периодам суток и дням недели, установленными Документом планирования регулярных перевозок для каждого из маршрутов, с учетом планируемых изменений трасс и параметров движения в период исполнения контракта), км.</w:t>
      </w:r>
    </w:p>
    <w:p>
      <w:pPr>
        <w:pStyle w:val="ConsPlusNormal"/>
        <w:spacing w:before="0" w:after="0"/>
        <w:ind w:left="0" w:right="0" w:firstLine="709"/>
        <w:jc w:val="both"/>
        <w:rPr/>
      </w:pPr>
      <w:bookmarkStart w:id="59" w:name="Par1112"/>
      <w:bookmarkEnd w:id="59"/>
      <w:r>
        <w:rPr>
          <w:sz w:val="28"/>
          <w:szCs w:val="28"/>
        </w:rPr>
        <w:t>15. Расходы на содержание собственной службы движения (без учета содержания зданий конечных станций) в t-ом году срока действия контракта</w:t>
        <w:br/>
        <w:t>в расчете на 1 км пробега (</w:t>
      </w:r>
      <w:r>
        <w:rPr/>
        <w:drawing>
          <wp:inline distT="0" distB="0" distL="0" distR="0">
            <wp:extent cx="358140" cy="285115"/>
            <wp:effectExtent l="0" t="0" r="0" b="0"/>
            <wp:docPr id="256" name="Рисунок 3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Рисунок 343" descr=""/>
                    <pic:cNvPicPr>
                      <a:picLocks noChangeAspect="1" noChangeArrowheads="1"/>
                    </pic:cNvPicPr>
                  </pic:nvPicPr>
                  <pic:blipFill>
                    <a:blip r:embed="rId268"/>
                    <a:stretch>
                      <a:fillRect/>
                    </a:stretch>
                  </pic:blipFill>
                  <pic:spPr bwMode="auto">
                    <a:xfrm>
                      <a:off x="0" y="0"/>
                      <a:ext cx="358140" cy="285115"/>
                    </a:xfrm>
                    <a:prstGeom prst="rect">
                      <a:avLst/>
                    </a:prstGeom>
                  </pic:spPr>
                </pic:pic>
              </a:graphicData>
            </a:graphic>
          </wp:inline>
        </w:drawing>
      </w:r>
      <w:r>
        <w:rPr>
          <w:sz w:val="28"/>
          <w:szCs w:val="28"/>
        </w:rPr>
        <w:t>) определяются по формуле (15).</w:t>
      </w:r>
    </w:p>
    <w:p>
      <w:pPr>
        <w:pStyle w:val="ConsPlusNormal"/>
        <w:spacing w:before="0" w:after="0"/>
        <w:ind w:left="0" w:right="0" w:firstLine="709"/>
        <w:jc w:val="both"/>
        <w:rPr>
          <w:sz w:val="28"/>
          <w:szCs w:val="28"/>
        </w:rPr>
      </w:pPr>
      <w:r>
        <w:rPr>
          <w:sz w:val="28"/>
          <w:szCs w:val="28"/>
        </w:rPr>
      </w:r>
    </w:p>
    <w:p>
      <w:pPr>
        <w:pStyle w:val="ConsPlusNormal"/>
        <w:widowControl w:val="false"/>
        <w:suppressAutoHyphens w:val="true"/>
        <w:bidi w:val="0"/>
        <w:spacing w:before="0" w:after="0"/>
        <w:ind w:left="0" w:right="0" w:hanging="0"/>
        <w:jc w:val="center"/>
        <w:rPr/>
      </w:pPr>
      <w:r>
        <w:rPr/>
      </w:r>
      <m:oMath xmlns:m="http://schemas.openxmlformats.org/officeDocument/2006/math">
        <m:sSub>
          <m:e>
            <m:r>
              <w:rPr>
                <w:rFonts w:ascii="Cambria Math" w:hAnsi="Cambria Math"/>
              </w:rPr>
              <m:t xml:space="preserve">Р</m:t>
            </m:r>
          </m:e>
          <m:sub>
            <m:r>
              <w:rPr>
                <w:rFonts w:ascii="Cambria Math" w:hAnsi="Cambria Math"/>
              </w:rPr>
              <m:t xml:space="preserve">СД</m:t>
            </m:r>
            <m:r>
              <w:rPr>
                <w:rFonts w:ascii="Cambria Math" w:hAnsi="Cambria Math"/>
              </w:rPr>
              <m:t xml:space="preserve">t</m:t>
            </m:r>
          </m:sub>
        </m:sSub>
        <m:r>
          <w:rPr>
            <w:rFonts w:ascii="Cambria Math" w:hAnsi="Cambria Math"/>
          </w:rPr>
          <m:t xml:space="preserve">=</m:t>
        </m:r>
        <m:r>
          <w:rPr>
            <w:rFonts w:ascii="Cambria Math" w:hAnsi="Cambria Math"/>
          </w:rPr>
          <m:t xml:space="preserve">75</m:t>
        </m:r>
        <m:r>
          <w:rPr>
            <w:rFonts w:ascii="Cambria Math" w:hAnsi="Cambria Math"/>
          </w:rPr>
          <m:t xml:space="preserve">000</m:t>
        </m:r>
        <m:r>
          <w:rPr>
            <w:rFonts w:ascii="Cambria Math" w:hAnsi="Cambria Math"/>
          </w:rPr>
          <m:t xml:space="preserve">×</m:t>
        </m:r>
        <m:r>
          <w:rPr>
            <w:rFonts w:ascii="Cambria Math" w:hAnsi="Cambria Math"/>
          </w:rPr>
          <m:t xml:space="preserve">М</m:t>
        </m:r>
        <m:r>
          <w:rPr>
            <w:rFonts w:ascii="Cambria Math" w:hAnsi="Cambria Math"/>
          </w:rPr>
          <m:t xml:space="preserve">×</m:t>
        </m:r>
        <m:r>
          <w:rPr>
            <w:rFonts w:ascii="Cambria Math" w:hAnsi="Cambria Math"/>
          </w:rPr>
          <m:t xml:space="preserve">СЗП</m:t>
        </m:r>
        <m:r>
          <w:rPr>
            <w:rFonts w:ascii="Cambria Math" w:hAnsi="Cambria Math"/>
          </w:rPr>
          <m:t xml:space="preserve">×</m:t>
        </m:r>
        <m:f>
          <m:fPr>
            <m:type m:val="lin"/>
          </m:fPr>
          <m:num>
            <m:f>
              <m:fPr>
                <m:type m:val="lin"/>
              </m:fPr>
              <m:num>
                <m:sSub>
                  <m:e>
                    <m:r>
                      <w:rPr>
                        <w:rFonts w:ascii="Cambria Math" w:hAnsi="Cambria Math"/>
                      </w:rPr>
                      <m:t xml:space="preserve">I</m:t>
                    </m:r>
                  </m:e>
                  <m:sub>
                    <m:r>
                      <w:rPr>
                        <w:rFonts w:ascii="Cambria Math" w:hAnsi="Cambria Math"/>
                      </w:rPr>
                      <m:t xml:space="preserve">пц</m:t>
                    </m:r>
                    <m:r>
                      <w:rPr>
                        <w:rFonts w:ascii="Cambria Math" w:hAnsi="Cambria Math"/>
                      </w:rPr>
                      <m:t xml:space="preserve">t</m:t>
                    </m:r>
                    <m:r>
                      <w:rPr>
                        <w:rFonts w:ascii="Cambria Math" w:hAnsi="Cambria Math"/>
                      </w:rPr>
                      <m:t xml:space="preserve">д</m:t>
                    </m:r>
                  </m:sub>
                </m:sSub>
              </m:num>
              <m:den>
                <m:sSub>
                  <m:e>
                    <m:r>
                      <w:rPr>
                        <w:rFonts w:ascii="Cambria Math" w:hAnsi="Cambria Math"/>
                      </w:rPr>
                      <m:t xml:space="preserve">СЗП</m:t>
                    </m:r>
                  </m:e>
                  <m:sub>
                    <m:r>
                      <w:rPr>
                        <w:rFonts w:ascii="Cambria Math" w:hAnsi="Cambria Math"/>
                      </w:rPr>
                      <m:t xml:space="preserve">РФ</m:t>
                    </m:r>
                  </m:sub>
                </m:sSub>
              </m:den>
            </m:f>
          </m:num>
          <m:den>
            <m:sSub>
              <m:e>
                <m:r>
                  <w:rPr>
                    <w:rFonts w:ascii="Cambria Math" w:hAnsi="Cambria Math"/>
                  </w:rPr>
                  <m:t xml:space="preserve">L</m:t>
                </m:r>
              </m:e>
              <m:sub>
                <m:r>
                  <w:rPr>
                    <w:rFonts w:ascii="Cambria Math" w:hAnsi="Cambria Math"/>
                  </w:rPr>
                  <m:t xml:space="preserve">суммК</m:t>
                </m:r>
                <m:r>
                  <w:rPr>
                    <w:rFonts w:ascii="Cambria Math" w:hAnsi="Cambria Math"/>
                  </w:rPr>
                  <m:t xml:space="preserve">t</m:t>
                </m:r>
              </m:sub>
            </m:sSub>
          </m:den>
        </m:f>
      </m:oMath>
      <w:r>
        <w:rPr>
          <w:i/>
          <w:sz w:val="28"/>
          <w:szCs w:val="28"/>
        </w:rPr>
        <w:t>,</w:t>
      </w:r>
      <w:r>
        <w:rPr>
          <w:sz w:val="28"/>
          <w:szCs w:val="28"/>
        </w:rPr>
        <w:t xml:space="preserve"> руб./км (15)</w:t>
      </w:r>
    </w:p>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sz w:val="28"/>
          <w:szCs w:val="28"/>
        </w:rPr>
        <w:t xml:space="preserve">75 000 </w:t>
      </w:r>
      <w:r>
        <w:rPr>
          <w:rFonts w:eastAsia="" w:cs="Times New Roman" w:eastAsiaTheme="minorEastAsia"/>
          <w:color w:val="auto"/>
          <w:kern w:val="0"/>
          <w:sz w:val="28"/>
          <w:szCs w:val="28"/>
          <w:lang w:val="ru-RU" w:eastAsia="ru-RU" w:bidi="ar-SA"/>
        </w:rPr>
        <w:t>−</w:t>
      </w:r>
      <w:r>
        <w:rPr>
          <w:sz w:val="28"/>
          <w:szCs w:val="28"/>
        </w:rPr>
        <w:t xml:space="preserve"> базовые удельные расходы на содержание собственной службы движения, руб.;</w:t>
      </w:r>
    </w:p>
    <w:p>
      <w:pPr>
        <w:pStyle w:val="ConsPlusNormal"/>
        <w:spacing w:before="0" w:after="0"/>
        <w:ind w:left="0" w:right="0" w:firstLine="709"/>
        <w:jc w:val="both"/>
        <w:rPr/>
      </w:pPr>
      <w:r>
        <w:rPr/>
        <w:drawing>
          <wp:inline distT="0" distB="0" distL="0" distR="0">
            <wp:extent cx="248920" cy="197485"/>
            <wp:effectExtent l="0" t="0" r="0" b="0"/>
            <wp:docPr id="257" name="Рисунок 2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Рисунок 261" descr=""/>
                    <pic:cNvPicPr>
                      <a:picLocks noChangeAspect="1" noChangeArrowheads="1"/>
                    </pic:cNvPicPr>
                  </pic:nvPicPr>
                  <pic:blipFill>
                    <a:blip r:embed="rId201"/>
                    <a:stretch>
                      <a:fillRect/>
                    </a:stretch>
                  </pic:blipFill>
                  <pic:spPr bwMode="auto">
                    <a:xfrm>
                      <a:off x="0" y="0"/>
                      <a:ext cx="248920" cy="19748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общее максимальное количество троллейбусов всех классов, одновременно работающих на маршрутах (выпуск транспортных средств в час пик) в соответствии с контрактом (может определяться в соответствии с Документом планирования регулярных перевозок по дням недели и периоду суток, для которого установлен минимальный интервал движения), ед.;</w:t>
      </w:r>
    </w:p>
    <w:p>
      <w:pPr>
        <w:pStyle w:val="ConsPlusNormal"/>
        <w:spacing w:before="0" w:after="0"/>
        <w:ind w:left="0" w:right="0" w:firstLine="709"/>
        <w:jc w:val="both"/>
        <w:rPr/>
      </w:pPr>
      <w:r>
        <w:rPr/>
        <w:drawing>
          <wp:inline distT="0" distB="0" distL="0" distR="0">
            <wp:extent cx="409575" cy="219710"/>
            <wp:effectExtent l="0" t="0" r="0" b="0"/>
            <wp:docPr id="258" name="Рисунок 3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Рисунок 346" descr=""/>
                    <pic:cNvPicPr>
                      <a:picLocks noChangeAspect="1" noChangeArrowheads="1"/>
                    </pic:cNvPicPr>
                  </pic:nvPicPr>
                  <pic:blipFill>
                    <a:blip r:embed="rId269"/>
                    <a:stretch>
                      <a:fillRect/>
                    </a:stretch>
                  </pic:blipFill>
                  <pic:spPr bwMode="auto">
                    <a:xfrm>
                      <a:off x="0" y="0"/>
                      <a:ext cx="409575" cy="21971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среднемесячная номинальная начисленная заработная плата работников крупных и средних предприятий и некоммерческих организаций всех отраслей экономики муниципального образования по месту осуществления перевозок в год, предшествующий первому году срока действия контракта, руб.;</w:t>
      </w:r>
    </w:p>
    <w:p>
      <w:pPr>
        <w:pStyle w:val="ConsPlusNormal"/>
        <w:spacing w:before="0" w:after="0"/>
        <w:ind w:left="0" w:right="0" w:firstLine="709"/>
        <w:jc w:val="both"/>
        <w:rPr/>
      </w:pPr>
      <w:r>
        <w:rPr/>
        <w:drawing>
          <wp:inline distT="0" distB="0" distL="0" distR="0">
            <wp:extent cx="321945" cy="285115"/>
            <wp:effectExtent l="0" t="0" r="0" b="0"/>
            <wp:docPr id="259" name="Рисунок 3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Рисунок 347" descr=""/>
                    <pic:cNvPicPr>
                      <a:picLocks noChangeAspect="1" noChangeArrowheads="1"/>
                    </pic:cNvPicPr>
                  </pic:nvPicPr>
                  <pic:blipFill>
                    <a:blip r:embed="rId270"/>
                    <a:stretch>
                      <a:fillRect/>
                    </a:stretch>
                  </pic:blipFill>
                  <pic:spPr bwMode="auto">
                    <a:xfrm>
                      <a:off x="0" y="0"/>
                      <a:ext cx="321945" cy="285115"/>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индекс потребительских цен для t-ого года срока действия контракта, принимаемый равным произведению определяемых Росстатом индексов потребительских цен за период с декабря 2019 года по период, ближайший к началу срока действия контракта, и прогнозного индекса потребительских цен для каждого года срока действия контракта, определяемого Минэкономразвития России в прогнозе социально-экономического развития Российской Федерации (если срок действия контракта превышает срок прогноза, индекс потребительских цен для каждого года срока действия контракта, не указанного в прогнозе, принимается равным индексу потребительских цен, указанному для последнего года прогноза);</w:t>
      </w:r>
      <w:bookmarkStart w:id="60" w:name="_Hlk66296207"/>
      <w:bookmarkEnd w:id="60"/>
    </w:p>
    <w:p>
      <w:pPr>
        <w:pStyle w:val="ConsPlusNormal"/>
        <w:spacing w:before="0" w:after="0"/>
        <w:ind w:left="0" w:right="0" w:firstLine="709"/>
        <w:jc w:val="both"/>
        <w:rPr/>
      </w:pPr>
      <w:r>
        <w:rPr/>
        <w:drawing>
          <wp:inline distT="0" distB="0" distL="0" distR="0">
            <wp:extent cx="563245" cy="278130"/>
            <wp:effectExtent l="0" t="0" r="0" b="0"/>
            <wp:docPr id="260" name="Рисунок 3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Рисунок 348" descr=""/>
                    <pic:cNvPicPr>
                      <a:picLocks noChangeAspect="1" noChangeArrowheads="1"/>
                    </pic:cNvPicPr>
                  </pic:nvPicPr>
                  <pic:blipFill>
                    <a:blip r:embed="rId271"/>
                    <a:stretch>
                      <a:fillRect/>
                    </a:stretch>
                  </pic:blipFill>
                  <pic:spPr bwMode="auto">
                    <a:xfrm>
                      <a:off x="0" y="0"/>
                      <a:ext cx="563245"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среднемесячная номинальная начисленная заработная плата организаций всех отраслей экономики Российской Федерации в год, предшествующий первому году срока действия контракта, руб.;</w:t>
      </w:r>
    </w:p>
    <w:p>
      <w:pPr>
        <w:pStyle w:val="ConsPlusNormal"/>
        <w:spacing w:before="0" w:after="0"/>
        <w:ind w:left="0" w:right="0" w:firstLine="709"/>
        <w:jc w:val="both"/>
        <w:rPr/>
      </w:pPr>
      <w:r>
        <w:rPr>
          <w:i/>
          <w:sz w:val="28"/>
          <w:szCs w:val="28"/>
          <w:lang w:val="en-US"/>
        </w:rPr>
        <w:t>L</w:t>
      </w:r>
      <w:r>
        <w:rPr>
          <w:i/>
          <w:iCs/>
          <w:sz w:val="28"/>
          <w:szCs w:val="28"/>
          <w:vertAlign w:val="subscript"/>
        </w:rPr>
        <w:t>суммК</w:t>
      </w:r>
      <w:r>
        <w:rPr>
          <w:i/>
          <w:iCs/>
          <w:sz w:val="28"/>
          <w:szCs w:val="28"/>
          <w:vertAlign w:val="subscript"/>
          <w:lang w:val="en-US"/>
        </w:rPr>
        <w:t>t</w:t>
      </w:r>
      <w:r>
        <w:rPr>
          <w:sz w:val="28"/>
          <w:szCs w:val="28"/>
          <w:vertAlign w:val="subscript"/>
        </w:rPr>
        <w:t xml:space="preserve"> </w:t>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суммарный планируемый пробег троллейбуса всех классов по всем маршрутам, предусмотренным контрактом, в t-ом году срока действия контракта (может определяться в соответствии с длиной рейсов и частотой движения по периодам суток и дням недели, установленными Документом планирования регулярных перевозок для каждого из маршрутов, предусмотренных контрактом, с учетом планируемых изменений трасс и параметров движения в период исполнения контракта), км.</w:t>
      </w:r>
    </w:p>
    <w:p>
      <w:pPr>
        <w:pStyle w:val="ConsPlusNormal"/>
        <w:spacing w:before="0" w:after="0"/>
        <w:ind w:left="0" w:right="0" w:firstLine="709"/>
        <w:jc w:val="both"/>
        <w:rPr/>
      </w:pPr>
      <w:bookmarkStart w:id="61" w:name="Par1123"/>
      <w:bookmarkEnd w:id="61"/>
      <w:r>
        <w:rPr>
          <w:sz w:val="28"/>
          <w:szCs w:val="28"/>
        </w:rPr>
        <w:t>16. Прочие расходы по обычным видам деятельности в сумме с косвенными расходами в составе расходов, определенном Приложением №4,  для транспортных средств i-го класса в t-ом году срока действия контракта в расчете на 1 км пробега (</w:t>
      </w:r>
      <w:r>
        <w:rPr/>
        <w:drawing>
          <wp:inline distT="0" distB="0" distL="0" distR="0">
            <wp:extent cx="497205" cy="278130"/>
            <wp:effectExtent l="0" t="0" r="0" b="0"/>
            <wp:docPr id="261" name="Рисунок 2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Рисунок 276" descr=""/>
                    <pic:cNvPicPr>
                      <a:picLocks noChangeAspect="1" noChangeArrowheads="1"/>
                    </pic:cNvPicPr>
                  </pic:nvPicPr>
                  <pic:blipFill>
                    <a:blip r:embed="rId272"/>
                    <a:stretch>
                      <a:fillRect/>
                    </a:stretch>
                  </pic:blipFill>
                  <pic:spPr bwMode="auto">
                    <a:xfrm>
                      <a:off x="0" y="0"/>
                      <a:ext cx="497205" cy="278130"/>
                    </a:xfrm>
                    <a:prstGeom prst="rect">
                      <a:avLst/>
                    </a:prstGeom>
                  </pic:spPr>
                </pic:pic>
              </a:graphicData>
            </a:graphic>
          </wp:inline>
        </w:drawing>
      </w:r>
      <w:r>
        <w:rPr>
          <w:sz w:val="28"/>
          <w:szCs w:val="28"/>
        </w:rPr>
        <w:t>) определяется по формуле (16).</w:t>
      </w:r>
    </w:p>
    <w:p>
      <w:pPr>
        <w:pStyle w:val="ConsPlusNormal"/>
        <w:spacing w:before="0" w:after="0"/>
        <w:ind w:left="0" w:right="0" w:firstLine="709"/>
        <w:jc w:val="both"/>
        <w:rPr>
          <w:sz w:val="28"/>
          <w:szCs w:val="28"/>
        </w:rPr>
      </w:pPr>
      <w:r>
        <w:rPr/>
      </w:r>
    </w:p>
    <w:p>
      <w:pPr>
        <w:pStyle w:val="ConsPlusNormal"/>
        <w:widowControl w:val="false"/>
        <w:suppressAutoHyphens w:val="true"/>
        <w:bidi w:val="0"/>
        <w:spacing w:before="0" w:after="0"/>
        <w:ind w:left="0" w:right="0" w:hanging="0"/>
        <w:jc w:val="center"/>
        <w:rPr/>
      </w:pPr>
      <w:r>
        <w:rPr/>
      </w:r>
      <m:oMath xmlns:m="http://schemas.openxmlformats.org/officeDocument/2006/math">
        <m:sSub>
          <m:e>
            <m:r>
              <w:rPr>
                <w:rFonts w:ascii="Cambria Math" w:hAnsi="Cambria Math"/>
              </w:rPr>
              <m:t xml:space="preserve">ПКР</m:t>
            </m:r>
          </m:e>
          <m:sub>
            <m:r>
              <w:rPr>
                <w:rFonts w:ascii="Cambria Math" w:hAnsi="Cambria Math"/>
              </w:rPr>
              <m:t xml:space="preserve">ti</m:t>
            </m:r>
          </m:sub>
        </m:sSub>
        <m:r>
          <w:rPr>
            <w:rFonts w:ascii="Cambria Math" w:hAnsi="Cambria Math"/>
          </w:rPr>
          <m:t xml:space="preserve">=</m:t>
        </m:r>
        <m:d>
          <m:dPr>
            <m:begChr m:val="("/>
            <m:sepChr m:val="|"/>
            <m:endChr m:val=")"/>
          </m:dPr>
          <m:e>
            <m:r>
              <w:rPr>
                <w:rFonts w:ascii="Cambria Math" w:hAnsi="Cambria Math"/>
              </w:rPr>
              <m:t xml:space="preserve">ЧПД</m:t>
            </m:r>
          </m:e>
          <m:e>
            <m:r>
              <w:rPr>
                <w:rFonts w:ascii="Cambria Math" w:hAnsi="Cambria Math"/>
              </w:rPr>
              <m:t xml:space="preserve">i</m:t>
            </m:r>
            <m:r>
              <w:rPr>
                <w:rFonts w:ascii="Cambria Math" w:hAnsi="Cambria Math"/>
              </w:rPr>
              <m:t xml:space="preserve">×</m:t>
            </m:r>
            <m:r>
              <w:rPr>
                <w:rFonts w:ascii="Cambria Math" w:hAnsi="Cambria Math"/>
              </w:rPr>
              <m:t xml:space="preserve">ЗПП</m:t>
            </m:r>
            <m:r>
              <w:rPr>
                <w:rFonts w:ascii="Cambria Math" w:hAnsi="Cambria Math"/>
              </w:rPr>
              <m:t xml:space="preserve">×</m:t>
            </m:r>
            <m:r>
              <w:rPr>
                <w:rFonts w:ascii="Cambria Math" w:hAnsi="Cambria Math"/>
              </w:rPr>
              <m:t xml:space="preserve">12</m:t>
            </m:r>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f>
                  <m:fPr>
                    <m:type m:val="lin"/>
                  </m:fPr>
                  <m:num>
                    <m:sSub>
                      <m:e>
                        <m:r>
                          <w:rPr>
                            <w:rFonts w:ascii="Cambria Math" w:hAnsi="Cambria Math"/>
                          </w:rPr>
                          <m:t xml:space="preserve">С</m:t>
                        </m:r>
                      </m:e>
                      <m:sub>
                        <m:r>
                          <w:rPr>
                            <w:rFonts w:ascii="Cambria Math" w:hAnsi="Cambria Math"/>
                          </w:rPr>
                          <m:t xml:space="preserve">ТС</m:t>
                        </m:r>
                      </m:sub>
                    </m:sSub>
                  </m:num>
                  <m:den>
                    <m:r>
                      <w:rPr>
                        <w:rFonts w:ascii="Cambria Math" w:hAnsi="Cambria Math"/>
                      </w:rPr>
                      <m:t xml:space="preserve">100</m:t>
                    </m:r>
                  </m:den>
                </m:f>
              </m:e>
            </m:d>
            <m:r>
              <w:rPr>
                <w:rFonts w:ascii="Cambria Math" w:hAnsi="Cambria Math"/>
              </w:rPr>
              <m:t xml:space="preserve">+</m:t>
            </m:r>
            <m:sSub>
              <m:e>
                <m:r>
                  <w:rPr>
                    <w:rFonts w:ascii="Cambria Math" w:hAnsi="Cambria Math"/>
                  </w:rPr>
                  <m:t xml:space="preserve">ПВ</m:t>
                </m:r>
              </m:e>
              <m:sub>
                <m:r>
                  <w:rPr>
                    <w:rFonts w:ascii="Cambria Math" w:hAnsi="Cambria Math"/>
                  </w:rPr>
                  <m:t xml:space="preserve">i</m:t>
                </m:r>
              </m:sub>
            </m:sSub>
          </m:e>
        </m:d>
        <m:r>
          <w:rPr>
            <w:rFonts w:ascii="Cambria Math" w:hAnsi="Cambria Math"/>
          </w:rPr>
          <m:t xml:space="preserve">×</m:t>
        </m:r>
        <m:sSub>
          <m:e>
            <m:r>
              <w:rPr>
                <w:rFonts w:ascii="Cambria Math" w:hAnsi="Cambria Math"/>
              </w:rPr>
              <m:t xml:space="preserve">М</m:t>
            </m:r>
          </m:e>
          <m:sub>
            <m:r>
              <w:rPr>
                <w:rFonts w:ascii="Cambria Math" w:hAnsi="Cambria Math"/>
              </w:rPr>
              <m:t xml:space="preserve">ti</m:t>
            </m:r>
          </m:sub>
        </m:sSub>
        <m:r>
          <w:rPr>
            <w:rFonts w:ascii="Cambria Math" w:hAnsi="Cambria Math"/>
          </w:rPr>
          <m:t xml:space="preserve">×</m:t>
        </m:r>
        <m:f>
          <m:fPr>
            <m:type m:val="lin"/>
          </m:fPr>
          <m:num>
            <m:sSub>
              <m:e>
                <m:r>
                  <w:rPr>
                    <w:rFonts w:ascii="Cambria Math" w:hAnsi="Cambria Math"/>
                  </w:rPr>
                  <m:t xml:space="preserve">I</m:t>
                </m:r>
              </m:e>
              <m:sub>
                <m:r>
                  <w:rPr>
                    <w:rFonts w:ascii="Cambria Math" w:hAnsi="Cambria Math"/>
                  </w:rPr>
                  <m:t xml:space="preserve">пц</m:t>
                </m:r>
                <m:r>
                  <w:rPr>
                    <w:rFonts w:ascii="Cambria Math" w:hAnsi="Cambria Math"/>
                  </w:rPr>
                  <m:t xml:space="preserve">t</m:t>
                </m:r>
                <m:r>
                  <w:rPr>
                    <w:rFonts w:ascii="Cambria Math" w:hAnsi="Cambria Math"/>
                  </w:rPr>
                  <m:t xml:space="preserve">д</m:t>
                </m:r>
              </m:sub>
            </m:sSub>
          </m:num>
          <m:den>
            <m:sSub>
              <m:e>
                <m:r>
                  <w:rPr>
                    <w:rFonts w:ascii="Cambria Math" w:hAnsi="Cambria Math"/>
                  </w:rPr>
                  <m:t xml:space="preserve">L</m:t>
                </m:r>
              </m:e>
              <m:sub>
                <m:r>
                  <w:rPr>
                    <w:rFonts w:ascii="Cambria Math" w:hAnsi="Cambria Math"/>
                  </w:rPr>
                  <m:t xml:space="preserve">ti</m:t>
                </m:r>
              </m:sub>
            </m:sSub>
          </m:den>
        </m:f>
      </m:oMath>
      <w:r>
        <w:rPr>
          <w:sz w:val="28"/>
          <w:szCs w:val="28"/>
        </w:rPr>
        <w:t>, руб./км (16)</w:t>
      </w:r>
    </w:p>
    <w:p>
      <w:pPr>
        <w:pStyle w:val="ConsPlusNormal"/>
        <w:spacing w:before="0" w:after="0"/>
        <w:ind w:left="0" w:right="0" w:firstLine="709"/>
        <w:jc w:val="both"/>
        <w:rPr>
          <w:i/>
          <w:i/>
          <w:sz w:val="28"/>
          <w:szCs w:val="28"/>
        </w:rPr>
      </w:pPr>
      <w:r>
        <w:rPr>
          <w:i/>
          <w:sz w:val="28"/>
          <w:szCs w:val="28"/>
        </w:rPr>
      </w:r>
    </w:p>
    <w:p>
      <w:pPr>
        <w:pStyle w:val="ConsPlusNormal"/>
        <w:spacing w:before="0" w:after="0"/>
        <w:ind w:left="0" w:right="0" w:firstLine="709"/>
        <w:jc w:val="both"/>
        <w:rPr/>
      </w:pPr>
      <w:r>
        <w:rPr>
          <w:sz w:val="28"/>
          <w:szCs w:val="28"/>
        </w:rPr>
        <w:t>где:</w:t>
      </w:r>
    </w:p>
    <w:p>
      <w:pPr>
        <w:pStyle w:val="ConsPlusNormal"/>
        <w:spacing w:before="0" w:after="0"/>
        <w:ind w:left="0" w:right="0" w:firstLine="709"/>
        <w:jc w:val="both"/>
        <w:rPr/>
      </w:pPr>
      <w:r>
        <w:rPr>
          <w:i/>
          <w:iCs/>
          <w:sz w:val="28"/>
          <w:szCs w:val="28"/>
        </w:rPr>
        <w:t>ЧПД</w:t>
      </w:r>
      <w:r>
        <w:rPr>
          <w:i/>
          <w:iCs/>
          <w:sz w:val="28"/>
          <w:szCs w:val="28"/>
          <w:vertAlign w:val="subscript"/>
          <w:lang w:val="en-US"/>
        </w:rPr>
        <w:t>i</w:t>
      </w:r>
      <w:r>
        <w:rPr>
          <w:sz w:val="28"/>
          <w:szCs w:val="28"/>
        </w:rPr>
        <w:t xml:space="preserve"> – удельная численность персонала депо и парков на единицу максимального количества транспортных средств </w:t>
      </w:r>
      <w:r>
        <w:rPr>
          <w:sz w:val="28"/>
          <w:szCs w:val="28"/>
          <w:lang w:val="en-US"/>
        </w:rPr>
        <w:t>i</w:t>
      </w:r>
      <w:r>
        <w:rPr>
          <w:sz w:val="28"/>
          <w:szCs w:val="28"/>
        </w:rPr>
        <w:t>-го класса, одновременно работающих на маршрутах в соответствии с условиями контракта (на единицу выпуска транспортных средств), чел/ед. (принимается равным 1,6);</w:t>
      </w:r>
    </w:p>
    <w:p>
      <w:pPr>
        <w:pStyle w:val="ConsPlusNormal"/>
        <w:spacing w:before="0" w:after="0"/>
        <w:ind w:left="0" w:right="0" w:firstLine="709"/>
        <w:jc w:val="both"/>
        <w:rPr/>
      </w:pPr>
      <w:r>
        <w:rPr>
          <w:i/>
          <w:iCs/>
          <w:sz w:val="28"/>
          <w:szCs w:val="28"/>
        </w:rPr>
        <w:t>ЗПП</w:t>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средняя месячная оплата труда прочего персонала транспортного предприятия (с учетом всех видов премий, надбавок и компенсаций), устанавливаемая на уровне не менее, чем определенном в соответствии с заключенным на территории соответствующего субъекта Российской Федерации, либо муниципального образования региональным, либо территориальным отраслевым соглашением в рамках реализации </w:t>
      </w:r>
      <w:hyperlink r:id="rId273">
        <w:r>
          <w:rPr>
            <w:sz w:val="28"/>
            <w:szCs w:val="28"/>
          </w:rPr>
          <w:t>статей 45</w:t>
        </w:r>
      </w:hyperlink>
      <w:r>
        <w:rPr>
          <w:sz w:val="28"/>
          <w:szCs w:val="28"/>
        </w:rPr>
        <w:t xml:space="preserve"> и </w:t>
      </w:r>
      <w:hyperlink r:id="rId274">
        <w:r>
          <w:rPr>
            <w:sz w:val="28"/>
            <w:szCs w:val="28"/>
          </w:rPr>
          <w:t>48</w:t>
        </w:r>
      </w:hyperlink>
      <w:r>
        <w:rPr>
          <w:sz w:val="28"/>
          <w:szCs w:val="28"/>
        </w:rPr>
        <w:t xml:space="preserve"> Трудового кодекса Российской Федерации, при отсутствии таких соглашений – на уровне не менее, чем определенном в соответствии с Федеральным отраслевым соглашением по автомобильному и городскому наземному пассажирскому транспорту или Отраслевым соглашением по организациям наземного городского электрического транспорта Российской Федерации, либо, при отсутствии такого заключенного соглашения - определенная в соответствии с пунктом 16 настоящего приложения, руб.;</w:t>
      </w:r>
    </w:p>
    <w:p>
      <w:pPr>
        <w:pStyle w:val="ConsPlusNormal"/>
        <w:spacing w:before="0" w:after="0"/>
        <w:ind w:left="0" w:right="0" w:firstLine="709"/>
        <w:jc w:val="both"/>
        <w:rPr/>
      </w:pPr>
      <w:r>
        <w:rPr>
          <w:i/>
          <w:iCs/>
          <w:sz w:val="28"/>
          <w:szCs w:val="28"/>
        </w:rPr>
        <w:t>12</w:t>
      </w:r>
      <w:r>
        <w:rPr>
          <w:sz w:val="28"/>
          <w:szCs w:val="28"/>
        </w:rPr>
        <w:t xml:space="preserve"> - количество месяцев в году;</w:t>
      </w:r>
    </w:p>
    <w:p>
      <w:pPr>
        <w:pStyle w:val="ConsPlusNormal"/>
        <w:spacing w:before="0" w:after="0"/>
        <w:ind w:left="0" w:right="0" w:firstLine="709"/>
        <w:jc w:val="both"/>
        <w:rPr/>
      </w:pPr>
      <w:r>
        <w:rPr>
          <w:i/>
          <w:iCs/>
          <w:sz w:val="28"/>
          <w:szCs w:val="28"/>
        </w:rPr>
        <w:t>С</w:t>
      </w:r>
      <w:r>
        <w:rPr>
          <w:i/>
          <w:iCs/>
          <w:sz w:val="28"/>
          <w:szCs w:val="28"/>
          <w:vertAlign w:val="subscript"/>
        </w:rPr>
        <w:t>ТС</w:t>
      </w:r>
      <w:r>
        <w:rPr>
          <w:sz w:val="28"/>
          <w:szCs w:val="28"/>
          <w:vertAlign w:val="subscript"/>
        </w:rPr>
        <w:t xml:space="preserve"> </w:t>
      </w:r>
      <w:r>
        <w:rPr>
          <w:sz w:val="28"/>
          <w:szCs w:val="28"/>
        </w:rPr>
        <w:t>- суммарный тариф отчислений на социальные нужды и обязательное социальное страхование от несчастных случаев на производстве и профессиональных заболеваний от расходов на оплату труда, определяемый в соответствии с законодательством Российской Федерации, %;</w:t>
      </w:r>
    </w:p>
    <w:p>
      <w:pPr>
        <w:pStyle w:val="ConsPlusNormal"/>
        <w:spacing w:before="0" w:after="0"/>
        <w:ind w:left="0" w:right="0" w:firstLine="709"/>
        <w:jc w:val="both"/>
        <w:rPr/>
      </w:pPr>
      <w:r>
        <w:rPr>
          <w:i/>
          <w:iCs/>
          <w:sz w:val="28"/>
          <w:szCs w:val="28"/>
        </w:rPr>
        <w:t>ПВ</w:t>
      </w:r>
      <w:r>
        <w:rPr>
          <w:i/>
          <w:iCs/>
          <w:sz w:val="28"/>
          <w:szCs w:val="28"/>
          <w:vertAlign w:val="subscript"/>
          <w:lang w:val="en-US"/>
        </w:rPr>
        <w:t>i</w:t>
      </w:r>
      <w:r>
        <w:rPr>
          <w:sz w:val="28"/>
          <w:szCs w:val="28"/>
        </w:rPr>
        <w:t xml:space="preserve"> – прочие удельные расходы на единицу максимального количества транспортных средств, одновременно работающих на маршрутах (на единицу выпуска транспортных средств), руб./ед. (принимается в соответствии с таблицей 5);</w:t>
      </w:r>
    </w:p>
    <w:p>
      <w:pPr>
        <w:pStyle w:val="ConsPlusNormal"/>
        <w:spacing w:before="0" w:after="0"/>
        <w:ind w:left="0" w:right="0" w:firstLine="709"/>
        <w:jc w:val="both"/>
        <w:rPr/>
      </w:pPr>
      <w:r>
        <w:rPr>
          <w:i/>
          <w:iCs/>
          <w:position w:val="-3"/>
          <w:sz w:val="28"/>
          <w:szCs w:val="28"/>
        </w:rPr>
        <w:t>М</w:t>
      </w:r>
      <w:r>
        <w:rPr>
          <w:i/>
          <w:iCs/>
          <w:position w:val="-3"/>
          <w:sz w:val="28"/>
          <w:szCs w:val="28"/>
          <w:lang w:val="en-US"/>
        </w:rPr>
        <w:t>ti</w:t>
      </w:r>
      <w:r>
        <w:rPr>
          <w:sz w:val="28"/>
          <w:szCs w:val="28"/>
        </w:rPr>
        <w:t xml:space="preserve"> - общее максимальное количество транспортных средств i-го класса, одновременно работающих на маршрутах (выпуск транспортных средств в час пик) в соответствии с контрактом на период </w:t>
      </w:r>
      <w:r>
        <w:rPr>
          <w:sz w:val="28"/>
          <w:szCs w:val="28"/>
          <w:lang w:val="en-US"/>
        </w:rPr>
        <w:t>t</w:t>
      </w:r>
      <w:r>
        <w:rPr>
          <w:sz w:val="28"/>
          <w:szCs w:val="28"/>
        </w:rPr>
        <w:t xml:space="preserve"> (может определяться в соответствии с Документом планирования регулярных перевозок по периоду суток, для которого установлен минимальный интервал движения), ед.;</w:t>
      </w:r>
    </w:p>
    <w:p>
      <w:pPr>
        <w:pStyle w:val="ConsPlusNormal"/>
        <w:spacing w:before="0" w:after="0"/>
        <w:ind w:left="0" w:right="0" w:firstLine="709"/>
        <w:jc w:val="both"/>
        <w:rPr/>
      </w:pPr>
      <w:r>
        <w:rPr/>
        <w:drawing>
          <wp:inline distT="0" distB="0" distL="0" distR="0">
            <wp:extent cx="321945" cy="285115"/>
            <wp:effectExtent l="0" t="0" r="0" b="0"/>
            <wp:docPr id="262" name="Рисунок 2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Рисунок 277" descr=""/>
                    <pic:cNvPicPr>
                      <a:picLocks noChangeAspect="1" noChangeArrowheads="1"/>
                    </pic:cNvPicPr>
                  </pic:nvPicPr>
                  <pic:blipFill>
                    <a:blip r:embed="rId203"/>
                    <a:stretch>
                      <a:fillRect/>
                    </a:stretch>
                  </pic:blipFill>
                  <pic:spPr bwMode="auto">
                    <a:xfrm>
                      <a:off x="0" y="0"/>
                      <a:ext cx="321945" cy="285115"/>
                    </a:xfrm>
                    <a:prstGeom prst="rect">
                      <a:avLst/>
                    </a:prstGeom>
                  </pic:spPr>
                </pic:pic>
              </a:graphicData>
            </a:graphic>
          </wp:inline>
        </w:drawing>
      </w:r>
      <w:r>
        <w:rPr>
          <w:sz w:val="28"/>
          <w:szCs w:val="28"/>
        </w:rPr>
        <w:t xml:space="preserve"> </w:t>
      </w:r>
      <w:r>
        <w:rPr>
          <w:sz w:val="28"/>
          <w:szCs w:val="28"/>
        </w:rPr>
        <w:t>- индекс потребительских цен для t-ого года срока действия контракта, принимаемый равным произведению определяемых Росстатом индексов потребительских цен за период с декабря 2019 года по период, ближайший к началу срока действия контракта, и прогнозного индекса потребительских цен для каждого года срока действия контракта, определяемого Минэкономразвития России в прогнозе социально-экономического развития Российской Федерации (если срок действия контракта превышает срок прогноза, индекс потребительских цен для каждого года срока действия контракта, не указанного в прогнозе, принимается равным индексу потребительских цен, указанному для последнего года прогноза);</w:t>
      </w:r>
    </w:p>
    <w:p>
      <w:pPr>
        <w:pStyle w:val="ConsPlusNormal"/>
        <w:spacing w:before="0" w:after="0"/>
        <w:ind w:left="0" w:right="0" w:firstLine="709"/>
        <w:jc w:val="both"/>
        <w:rPr/>
      </w:pPr>
      <w:r>
        <w:rPr/>
        <w:drawing>
          <wp:inline distT="0" distB="0" distL="0" distR="0">
            <wp:extent cx="219710" cy="278130"/>
            <wp:effectExtent l="0" t="0" r="0" b="0"/>
            <wp:docPr id="263" name="Рисунок 2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Рисунок 278" descr=""/>
                    <pic:cNvPicPr>
                      <a:picLocks noChangeAspect="1" noChangeArrowheads="1"/>
                    </pic:cNvPicPr>
                  </pic:nvPicPr>
                  <pic:blipFill>
                    <a:blip r:embed="rId79"/>
                    <a:stretch>
                      <a:fillRect/>
                    </a:stretch>
                  </pic:blipFill>
                  <pic:spPr bwMode="auto">
                    <a:xfrm>
                      <a:off x="0" y="0"/>
                      <a:ext cx="219710" cy="278130"/>
                    </a:xfrm>
                    <a:prstGeom prst="rect">
                      <a:avLst/>
                    </a:prstGeom>
                  </pic:spPr>
                </pic:pic>
              </a:graphicData>
            </a:graphic>
          </wp:inline>
        </w:drawing>
      </w:r>
      <w:r>
        <w:rPr>
          <w:sz w:val="28"/>
          <w:szCs w:val="28"/>
        </w:rPr>
        <w:t xml:space="preserve"> </w:t>
      </w:r>
      <w:r>
        <w:rPr>
          <w:rFonts w:eastAsia="" w:cs="Times New Roman" w:eastAsiaTheme="minorEastAsia"/>
          <w:color w:val="auto"/>
          <w:kern w:val="0"/>
          <w:sz w:val="28"/>
          <w:szCs w:val="28"/>
          <w:lang w:val="ru-RU" w:eastAsia="ru-RU" w:bidi="ar-SA"/>
        </w:rPr>
        <w:t>−</w:t>
      </w:r>
      <w:r>
        <w:rPr>
          <w:sz w:val="28"/>
          <w:szCs w:val="28"/>
        </w:rPr>
        <w:t xml:space="preserve"> </w:t>
      </w:r>
      <w:r>
        <w:rPr>
          <w:sz w:val="28"/>
          <w:szCs w:val="28"/>
        </w:rPr>
        <w:t>предусмотренный контрактом планируемый пробег транспортных средств i-го класса в t-ом году срока действия контракта (может определяться в соответствии с длиной рейсов и частотой движения по периодам суток и дням недели, установленными Документом планирования регулярных перевозок для каждого из маршрутов, с учетом планируемых изменений трасс и параметров движения в период исполнения контракта), км.</w:t>
      </w:r>
    </w:p>
    <w:p>
      <w:pPr>
        <w:pStyle w:val="ConsPlusNormal"/>
        <w:numPr>
          <w:ilvl w:val="0"/>
          <w:numId w:val="0"/>
        </w:numPr>
        <w:spacing w:before="0" w:after="0"/>
        <w:ind w:left="0" w:right="0" w:firstLine="709"/>
        <w:jc w:val="right"/>
        <w:outlineLvl w:val="2"/>
        <w:rPr/>
      </w:pPr>
      <w:r>
        <w:rPr>
          <w:sz w:val="28"/>
          <w:szCs w:val="28"/>
        </w:rPr>
        <w:t>Таблица 5</w:t>
      </w:r>
    </w:p>
    <w:p>
      <w:pPr>
        <w:pStyle w:val="ConsPlusNormal"/>
        <w:widowControl w:val="false"/>
        <w:suppressAutoHyphens w:val="true"/>
        <w:bidi w:val="0"/>
        <w:spacing w:before="0" w:after="0"/>
        <w:ind w:left="0" w:right="0" w:hanging="0"/>
        <w:jc w:val="both"/>
        <w:rPr>
          <w:sz w:val="28"/>
          <w:szCs w:val="28"/>
        </w:rPr>
      </w:pPr>
      <w:r>
        <w:rPr>
          <w:sz w:val="28"/>
          <w:szCs w:val="28"/>
        </w:rPr>
      </w:r>
    </w:p>
    <w:p>
      <w:pPr>
        <w:pStyle w:val="ConsPlusTitle"/>
        <w:spacing w:before="0" w:after="0"/>
        <w:ind w:left="0" w:right="0" w:firstLine="709"/>
        <w:jc w:val="center"/>
        <w:rPr/>
      </w:pPr>
      <w:r>
        <w:rPr>
          <w:rFonts w:cs="Times New Roman" w:ascii="Times New Roman" w:hAnsi="Times New Roman"/>
          <w:sz w:val="28"/>
          <w:szCs w:val="28"/>
        </w:rPr>
        <w:t>Прочие удельные расходы на единицу выпуска транспортных средств</w:t>
      </w:r>
    </w:p>
    <w:p>
      <w:pPr>
        <w:pStyle w:val="ConsPlusNormal"/>
        <w:spacing w:before="0" w:after="0"/>
        <w:ind w:left="0" w:right="0" w:firstLine="709"/>
        <w:jc w:val="both"/>
        <w:rPr>
          <w:sz w:val="28"/>
          <w:szCs w:val="28"/>
        </w:rPr>
      </w:pPr>
      <w:r>
        <w:rPr>
          <w:sz w:val="28"/>
          <w:szCs w:val="28"/>
        </w:rPr>
      </w:r>
    </w:p>
    <w:tbl>
      <w:tblPr>
        <w:tblW w:w="7730" w:type="dxa"/>
        <w:jc w:val="center"/>
        <w:tblInd w:w="0" w:type="dxa"/>
        <w:tblLayout w:type="fixed"/>
        <w:tblCellMar>
          <w:top w:w="102" w:type="dxa"/>
          <w:left w:w="62" w:type="dxa"/>
          <w:bottom w:w="102" w:type="dxa"/>
          <w:right w:w="62" w:type="dxa"/>
        </w:tblCellMar>
        <w:tblLook w:val="0000" w:noVBand="0" w:noHBand="0" w:lastColumn="0" w:firstColumn="0" w:lastRow="0" w:firstRow="0"/>
      </w:tblPr>
      <w:tblGrid>
        <w:gridCol w:w="2626"/>
        <w:gridCol w:w="5103"/>
      </w:tblGrid>
      <w:tr>
        <w:trPr/>
        <w:tc>
          <w:tcPr>
            <w:tcW w:w="262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uppressAutoHyphens w:val="true"/>
              <w:bidi w:val="0"/>
              <w:spacing w:before="0" w:after="0"/>
              <w:ind w:left="0" w:right="0" w:hanging="0"/>
              <w:jc w:val="left"/>
              <w:rPr>
                <w:sz w:val="28"/>
                <w:szCs w:val="28"/>
              </w:rPr>
            </w:pPr>
            <w:r>
              <w:rPr>
                <w:sz w:val="28"/>
                <w:szCs w:val="28"/>
              </w:rPr>
              <w:t>Класс троллейбуса</w:t>
            </w:r>
          </w:p>
        </w:tc>
        <w:tc>
          <w:tcPr>
            <w:tcW w:w="5103"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57"/>
              <w:jc w:val="center"/>
              <w:rPr>
                <w:sz w:val="28"/>
                <w:szCs w:val="28"/>
              </w:rPr>
            </w:pPr>
            <w:r>
              <w:rPr>
                <w:i/>
                <w:iCs/>
                <w:sz w:val="28"/>
                <w:szCs w:val="28"/>
              </w:rPr>
              <w:t>ПВ</w:t>
            </w:r>
            <w:r>
              <w:rPr>
                <w:i/>
                <w:iCs/>
                <w:sz w:val="28"/>
                <w:szCs w:val="28"/>
                <w:vertAlign w:val="subscript"/>
                <w:lang w:val="en-US"/>
              </w:rPr>
              <w:t>t</w:t>
            </w:r>
            <w:r>
              <w:rPr>
                <w:sz w:val="28"/>
                <w:szCs w:val="28"/>
                <w:vertAlign w:val="subscript"/>
                <w:lang w:val="en-US"/>
              </w:rPr>
              <w:t>i</w:t>
            </w:r>
            <w:r>
              <w:rPr>
                <w:sz w:val="28"/>
                <w:szCs w:val="28"/>
              </w:rPr>
              <w:t>, руб./ед.</w:t>
            </w:r>
          </w:p>
        </w:tc>
      </w:tr>
      <w:tr>
        <w:trPr/>
        <w:tc>
          <w:tcPr>
            <w:tcW w:w="262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uppressAutoHyphens w:val="true"/>
              <w:bidi w:val="0"/>
              <w:spacing w:before="0" w:after="0"/>
              <w:ind w:left="0" w:right="0" w:hanging="0"/>
              <w:jc w:val="left"/>
              <w:rPr>
                <w:sz w:val="28"/>
                <w:szCs w:val="28"/>
              </w:rPr>
            </w:pPr>
            <w:r>
              <w:rPr>
                <w:sz w:val="28"/>
                <w:szCs w:val="28"/>
              </w:rPr>
              <w:t>Большой</w:t>
            </w:r>
          </w:p>
        </w:tc>
        <w:tc>
          <w:tcPr>
            <w:tcW w:w="5103"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firstLine="57"/>
              <w:jc w:val="center"/>
              <w:rPr>
                <w:sz w:val="28"/>
                <w:szCs w:val="28"/>
              </w:rPr>
            </w:pPr>
            <w:r>
              <w:rPr>
                <w:sz w:val="28"/>
                <w:szCs w:val="28"/>
              </w:rPr>
              <w:t>850 000</w:t>
            </w:r>
          </w:p>
        </w:tc>
      </w:tr>
      <w:tr>
        <w:trPr/>
        <w:tc>
          <w:tcPr>
            <w:tcW w:w="262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suppressAutoHyphens w:val="true"/>
              <w:bidi w:val="0"/>
              <w:spacing w:before="0" w:after="0"/>
              <w:ind w:left="0" w:right="0" w:hanging="0"/>
              <w:jc w:val="left"/>
              <w:rPr>
                <w:sz w:val="28"/>
                <w:szCs w:val="28"/>
              </w:rPr>
            </w:pPr>
            <w:r>
              <w:rPr>
                <w:sz w:val="28"/>
                <w:szCs w:val="28"/>
              </w:rPr>
              <w:t>Особо большой</w:t>
            </w:r>
          </w:p>
        </w:tc>
        <w:tc>
          <w:tcPr>
            <w:tcW w:w="5103" w:type="dxa"/>
            <w:tcBorders>
              <w:top w:val="single" w:sz="4" w:space="0" w:color="000000"/>
              <w:left w:val="single" w:sz="4" w:space="0" w:color="000000"/>
              <w:bottom w:val="single" w:sz="4" w:space="0" w:color="000000"/>
              <w:right w:val="single" w:sz="4" w:space="0" w:color="000000"/>
            </w:tcBorders>
            <w:vAlign w:val="bottom"/>
          </w:tcPr>
          <w:p>
            <w:pPr>
              <w:pStyle w:val="ConsPlusNormal"/>
              <w:widowControl w:val="false"/>
              <w:suppressAutoHyphens w:val="true"/>
              <w:bidi w:val="0"/>
              <w:spacing w:before="0" w:after="0"/>
              <w:ind w:left="0" w:right="0" w:firstLine="57"/>
              <w:jc w:val="center"/>
              <w:rPr>
                <w:sz w:val="28"/>
                <w:szCs w:val="28"/>
              </w:rPr>
            </w:pPr>
            <w:r>
              <w:rPr>
                <w:sz w:val="28"/>
                <w:szCs w:val="28"/>
              </w:rPr>
              <w:t>1 450 000</w:t>
            </w:r>
          </w:p>
        </w:tc>
      </w:tr>
    </w:tbl>
    <w:p>
      <w:pPr>
        <w:pStyle w:val="ConsPlusNormal"/>
        <w:spacing w:before="0" w:after="0"/>
        <w:ind w:left="0" w:right="0" w:firstLine="709"/>
        <w:jc w:val="both"/>
        <w:rPr>
          <w:sz w:val="28"/>
          <w:szCs w:val="28"/>
        </w:rPr>
      </w:pPr>
      <w:r>
        <w:rPr>
          <w:sz w:val="28"/>
          <w:szCs w:val="28"/>
        </w:rPr>
      </w:r>
    </w:p>
    <w:p>
      <w:pPr>
        <w:pStyle w:val="ConsPlusNormal"/>
        <w:spacing w:before="0" w:after="0"/>
        <w:ind w:left="0" w:right="0" w:firstLine="709"/>
        <w:jc w:val="both"/>
        <w:rPr>
          <w:sz w:val="28"/>
          <w:szCs w:val="28"/>
        </w:rPr>
      </w:pPr>
      <w:r>
        <w:rPr>
          <w:sz w:val="28"/>
          <w:szCs w:val="28"/>
        </w:rPr>
      </w:r>
    </w:p>
    <w:p>
      <w:pPr>
        <w:pStyle w:val="Normal"/>
        <w:spacing w:before="0" w:after="0"/>
        <w:ind w:left="0" w:right="0" w:firstLine="709"/>
        <w:rPr>
          <w:rFonts w:eastAsia="Times New Roman" w:cs="Times New Roman"/>
          <w:color w:val="000000"/>
          <w:sz w:val="27"/>
          <w:szCs w:val="27"/>
          <w:lang w:eastAsia="ru-RU"/>
        </w:rPr>
      </w:pPr>
      <w:r>
        <w:rPr>
          <w:rFonts w:eastAsia="Times New Roman" w:cs="Times New Roman"/>
          <w:color w:val="000000"/>
          <w:sz w:val="27"/>
          <w:szCs w:val="27"/>
          <w:lang w:eastAsia="ru-RU"/>
        </w:rPr>
      </w:r>
      <w:r>
        <w:br w:type="page"/>
      </w:r>
    </w:p>
    <w:p>
      <w:pPr>
        <w:pStyle w:val="ConsPlusNormal"/>
        <w:numPr>
          <w:ilvl w:val="0"/>
          <w:numId w:val="0"/>
        </w:numPr>
        <w:spacing w:before="0" w:after="0"/>
        <w:ind w:left="0" w:right="0" w:firstLine="709"/>
        <w:jc w:val="right"/>
        <w:outlineLvl w:val="1"/>
        <w:rPr>
          <w:sz w:val="28"/>
          <w:szCs w:val="28"/>
        </w:rPr>
      </w:pPr>
      <w:r>
        <w:rPr/>
      </w:r>
    </w:p>
    <w:tbl>
      <w:tblPr>
        <w:tblW w:w="5684" w:type="dxa"/>
        <w:jc w:val="right"/>
        <w:tblInd w:w="0" w:type="dxa"/>
        <w:tblLayout w:type="fixed"/>
        <w:tblCellMar>
          <w:top w:w="55" w:type="dxa"/>
          <w:left w:w="55" w:type="dxa"/>
          <w:bottom w:w="55" w:type="dxa"/>
          <w:right w:w="55" w:type="dxa"/>
        </w:tblCellMar>
      </w:tblPr>
      <w:tblGrid>
        <w:gridCol w:w="5684"/>
      </w:tblGrid>
      <w:tr>
        <w:trPr/>
        <w:tc>
          <w:tcPr>
            <w:tcW w:w="5684" w:type="dxa"/>
            <w:tcBorders/>
          </w:tcPr>
          <w:p>
            <w:pPr>
              <w:pStyle w:val="ConsPlusNormal"/>
              <w:widowControl w:val="false"/>
              <w:numPr>
                <w:ilvl w:val="0"/>
                <w:numId w:val="0"/>
              </w:numPr>
              <w:suppressAutoHyphens w:val="true"/>
              <w:bidi w:val="0"/>
              <w:spacing w:before="0" w:after="0"/>
              <w:ind w:left="0" w:right="0" w:hanging="0"/>
              <w:jc w:val="center"/>
              <w:outlineLvl w:val="1"/>
              <w:rPr/>
            </w:pPr>
            <w:r>
              <w:rPr>
                <w:rFonts w:eastAsia="" w:cs="Times New Roman" w:eastAsiaTheme="minorEastAsia"/>
                <w:color w:val="auto"/>
                <w:kern w:val="0"/>
                <w:sz w:val="28"/>
                <w:szCs w:val="28"/>
                <w:lang w:val="ru-RU" w:eastAsia="ru-RU" w:bidi="ar-SA"/>
              </w:rPr>
              <w:t>ПРИЛОЖЕНИЕ</w:t>
            </w:r>
            <w:r>
              <w:rPr>
                <w:sz w:val="28"/>
                <w:szCs w:val="28"/>
              </w:rPr>
              <w:t xml:space="preserve"> № 4</w:t>
            </w:r>
          </w:p>
          <w:p>
            <w:pPr>
              <w:pStyle w:val="ConsPlusNormal"/>
              <w:widowControl w:val="false"/>
              <w:numPr>
                <w:ilvl w:val="0"/>
                <w:numId w:val="0"/>
              </w:numPr>
              <w:suppressAutoHyphens w:val="true"/>
              <w:bidi w:val="0"/>
              <w:spacing w:before="0" w:after="0"/>
              <w:ind w:left="0" w:right="0" w:hanging="0"/>
              <w:jc w:val="center"/>
              <w:rPr/>
            </w:pPr>
            <w:r>
              <w:rPr>
                <w:sz w:val="28"/>
                <w:szCs w:val="28"/>
              </w:rPr>
              <w:t>к Порядку определения начальной</w:t>
            </w:r>
          </w:p>
          <w:p>
            <w:pPr>
              <w:pStyle w:val="ConsPlusNormal"/>
              <w:widowControl w:val="false"/>
              <w:numPr>
                <w:ilvl w:val="0"/>
                <w:numId w:val="0"/>
              </w:numPr>
              <w:suppressAutoHyphens w:val="true"/>
              <w:bidi w:val="0"/>
              <w:spacing w:before="0" w:after="0"/>
              <w:ind w:left="0" w:right="0" w:hanging="0"/>
              <w:jc w:val="center"/>
              <w:rPr/>
            </w:pPr>
            <w:r>
              <w:rPr>
                <w:sz w:val="28"/>
                <w:szCs w:val="28"/>
              </w:rPr>
              <w:t>(максимальной)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w:t>
            </w:r>
          </w:p>
          <w:p>
            <w:pPr>
              <w:pStyle w:val="ConsPlusNormal"/>
              <w:widowControl w:val="false"/>
              <w:numPr>
                <w:ilvl w:val="0"/>
                <w:numId w:val="0"/>
              </w:numPr>
              <w:suppressAutoHyphens w:val="true"/>
              <w:bidi w:val="0"/>
              <w:spacing w:before="0" w:after="0"/>
              <w:ind w:left="0" w:right="0" w:hanging="0"/>
              <w:jc w:val="center"/>
              <w:rPr/>
            </w:pPr>
            <w:r>
              <w:rPr>
                <w:sz w:val="28"/>
                <w:szCs w:val="28"/>
              </w:rPr>
              <w:t>и багажа автомобильным транспортом и городским наземным электрическим транспортом</w:t>
            </w:r>
          </w:p>
        </w:tc>
      </w:tr>
    </w:tbl>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bidi w:val="0"/>
        <w:spacing w:before="0" w:after="0"/>
        <w:ind w:left="0" w:right="0" w:hanging="0"/>
        <w:jc w:val="center"/>
        <w:rPr>
          <w:rFonts w:ascii="Times New Roman" w:hAnsi="Times New Roman"/>
          <w:b/>
          <w:b/>
          <w:bCs/>
          <w:sz w:val="28"/>
          <w:szCs w:val="28"/>
        </w:rPr>
      </w:pPr>
      <w:r>
        <w:rPr>
          <w:rFonts w:ascii="Times New Roman" w:hAnsi="Times New Roman"/>
          <w:b/>
          <w:bCs/>
          <w:sz w:val="28"/>
          <w:szCs w:val="28"/>
        </w:rPr>
        <w:t>Состав прочих расходов по обычным видам деятельности</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В составе прочих расходов по обычным видам деятельности, в целях настоящих Методических рекомендаций, включены следующие виды расходов:</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на командировки, если это командировки работников, не относящихся к административно-управленческому персоналу, в том числе и компенсационные выплаты взамен суточных, утверждаемых Правительством Российской Федерации;</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связанные с реализацией билетов на автобусы (расходы на приобретение бланков билетной продукции, содержание принадлежащих перевозчику билетных касс и пунктов распространения билетов, включая оплату труда кассиров и распространителей билетов и отчисления на социальные нужды</w:t>
        <w:br/>
        <w:t>от величины расходов на оплату их труда, или оплату услуг сторонних организаций, включая автовокзалы и автостанции, и индивидуальных предпринимателей по реализации билетов на автобусы, принадлежащие предприятию (организации));</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связанные с обслуживанием держателей электронных проездных документов (бесконтактных микропроцессорных транспортных карт и др.),</w:t>
        <w:br/>
        <w:t>в т.ч. оплата услуг операторов, осуществляющих учет пассажиров, являющихся держателями электронных проездных документов, кроме затрат на приобретение, установку и эксплуатацию в транспортных средствах контрольно-кассовой техники, оборудования для использования в автоматизированных системах оплаты</w:t>
        <w:br/>
        <w:t>и контроля оплаты проезда;</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стоимость выдаваемых работникам бесплатно, в соответствии</w:t>
        <w:br/>
        <w:t>с законодательством Российской Федерации, предметов (включая форменную одежду, обмундирование), остающихся в личном постоянном пользовании (сумма льгот в связи с их продажей по пониженным ценам);</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общепроизводственные расходы: по содержанию и эксплуатации машин</w:t>
        <w:br/>
        <w:t>и оборудования; амортизационные отчисления и затраты на ремонт основных средств и иного имущества, используемого в производстве (кроме транспортных средств); расходы по страхованию указанного имущества; расходы на отопление, освещение и содержание помещений, в т.ч. их уборку; арендную плату за помещения, машины, оборудование и др., используемые в производстве; оплату труда работников, занятых обслуживанием производства, взносы на социальное страхование от оплаты труда работников, занятых обслуживанием производства; другие аналогичные по назначению расходы, включающие прочие расходы, связанные с обычными видами деятельности:</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на ремонт и восстановление основных средств (кроме транспортных средств);</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на научные исследования и (или) опытно-конструкторские разработки;</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по обеспечению нормальных условий труда;</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на хранение транспортных средств, в т.ч. оплата услуг, предоставляемых сторонними лицами;</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связанные с проездом по платным мостам и дорогам общего пользования;</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оплата технических осмотров автомобилей;</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оплата стоимости номерных знаков;</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местные регистрационные сборы и прочие местные сборы, уплачиваемые предприятием при выполнении перевозок; расходы по уплате регистрационных сборов и за выдачу свидетельств о регистрации автомобилей для оказания услуг</w:t>
        <w:br/>
        <w:t>по перевозке;</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на добровольное и обязательное страхование гражданской ответственности перевозчика за причинение вреда жизни, здоровью, имуществу пассажиров;</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на добровольное и обязательное страхование гражданской ответственности владельцев транспортных средств;</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на добровольное страхование имущества перевозчика;</w:t>
      </w:r>
    </w:p>
    <w:p>
      <w:pPr>
        <w:pStyle w:val="Normal"/>
        <w:widowControl/>
        <w:suppressAutoHyphens w:val="true"/>
        <w:bidi w:val="0"/>
        <w:spacing w:before="0" w:after="0"/>
        <w:ind w:left="0" w:right="0" w:firstLine="737"/>
        <w:jc w:val="both"/>
        <w:rPr/>
      </w:pPr>
      <w:r>
        <w:rPr>
          <w:rFonts w:ascii="Times New Roman" w:hAnsi="Times New Roman"/>
          <w:sz w:val="28"/>
          <w:szCs w:val="28"/>
        </w:rPr>
        <w:t>арендные (лизинговые) платежи за арендуемое (принятое в лизинг) имущество (кроме транспортных средств). В случае, если имущество, полученное по договору лизинга, учитывается у лизингополучателя, арендные (лизинговые) платежи признаются расходом за вычетом сумм начисленной в соответствии</w:t>
        <w:br/>
        <w:t>с ПБУ 6/01 по этому имуществу амортизации;</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лицензионные, экологические сборы и расходы на сертификацию продукции и услуг;</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суммы комиссионных сборов и иных подобных расходов за выполненные сторонними организациями работы (предоставленные услуги);</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на обеспечение пожарной безопасности организации в соответствии с законодательством Российской Федерации, расходы на услуги по охране имущества, обслуживанию охранно-пожарной сигнализации, расходы на приобретение услуг пожарной охраны и иных услуг охранной деятельности, а также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(за исключением расходов на экипировку, приобретение оружия и иных специальных средств защиты);</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на подготовку и переподготовку кадров, если эти работники не относятся к административно-управленческому персоналу;</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на подготовку и освоение новых производств, цехов и агрегатов;</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в виде отчислений в резерв на предстоящую оплату отпусков работникам и (или) в резерв на выплату ежегодного вознаграждения за выслугу лет;</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оплата расходов, связанных с реализацией целевых программ по повышению безопасности дорожного движения;</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на налоги, а также на иные обязательные платежи и сборы, уплачиваемые в соответствии с законодательством Российской Федерации, входящие в расходы по обычным видам деятельности;</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на оплату услуг по хранению запасов топлива и расходы на оплату услуг сторонних организаций по хранению запасов смазочных материалов;</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по оплате услуг сторонних организаций за прием, хранение</w:t>
        <w:br/>
        <w:t>и уничтожение экологически опасных отходов;</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возмещение ущерба в случае причиненного увечья, травмы работников, выплата пособия в связи с производственным травматизмом;</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стоимость воды, идущей на технические нужды без наличия водомера</w:t>
        <w:br/>
        <w:t>и дополнительного учета и контроля;</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на санитарную обработку пассажирских транспортных средств;</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оплата услуг по транспортировке неисправных транспортных средств;</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связанные с оформлением путевых листов, проведением предрейсового и послерейсового медицинского осмотра водителей, предрейсового (или послерейсового) технического осмотра пассажирских транспортных средств, независимо от способа организации этих работ, принятого у перевозчика (собственными силами, или аутсорсное);</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связанные с доставкой персонала на работу и с работы в период после 0.00 часов и до 6.00 часов;</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связанные с обеспечением транспортной (антитеррористической) безопасности на транспортных средствах, а также объектах транспортной инфраструктуры, используемых при перевозках в городском и пригородном сообщениях, при условии, что содержание этих объектов осуществляет перевозчик;</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оплата стоимости оснащения техническими средствами контроля за соблюдением водителями режимов движения, труда и отдыха и оснащению аппаратурой спутниковой навигации ГЛОНАСС или ГЛОНАСС/GPS, а также расходы, связанные с их эксплуатацией;</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на обеспечение диспетчерского сопровождения перевозок автомобильным транспортом (только для автобусного транспорта);</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на содержание конечных станций автомобильного и городского электрического транспорта;</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другие расходы, связанные с обычными видами деятельности.</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на содержание службы автоматики и связи, включающие расходы на оплату труда работников службы автоматики и связи, отчисления на социальные нужды от величины фонда оплаты труда работников службы автоматики и связи, расходы на все виды технического обслуживания и ремонта средств автоматики и связи (только для городского электрического транспорта);</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управленческие расходы, в том числе административно-управленческие расходы; содержание общехозяйственного персонала, не связанного</w:t>
        <w:br/>
        <w:t>с производственным процессом, в т.ч. расходы на оплату труда, выплату взносов на социальное страхование в соответствии с действующим законодательством; амортизационные отчисления и расходы на ремонт основных средств управленческого и общехозяйственного назначения; арендная плата за помещения общехозяйственного назначения; расходы по оплате информационных, аудиторских, консультационных, управленческих и т.п. услуг; другие аналогичные по назначению управленческие расходы:</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в части, относимой к работникам административно-управленческого персонала: на командировки, на подготовку и переподготовку кадров, по договорам гражданско-правового характера (включая договоры подряда), заключенным</w:t>
        <w:br/>
        <w:t>с индивидуальными предпринимателями, не состоящими в штате организации;</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на управление организацией или отдельными ее подразделениями,</w:t>
        <w:br/>
        <w:t>в т.ч. заработная плата административно-управленческого персонала и взносы на социальное страхование в соответствии с действующим законодательством, а также расходы на приобретение услуг по управлению организацией или ее отдельными подразделениями;</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на услуги по предоставлению работников (технического</w:t>
        <w:br/>
        <w:t>и управленческого персонала) сторонними организациями для участия</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в производственном процессе, управлении производством либо для выполнения иных функций, связанных с производством и (или) реализацией, в т.ч. расходы, связанные с оплатой услуг посреднических организаций, выполняемых для производственных нужд автотранспортных организаций, оплатой услуг банков по осуществлению в соответствии с заключенными договорами торгово-комиссионных (факторинговых) и других аналогичных операций;</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представительские расходы;</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на почтовые, телефонные, телеграфные и другие подобные услуги, расходы на оплату услуг связи, вычислительных центров, включая расходы на услуги факсимильной и спутниковой связи, электронной почты, а также информационных систем (СВИФТ, Интернет и иные аналогичные системы);</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связанные с приобретением права на использование программ для ЭВМ и баз данных по договорам с правообладателем (по лицензионным соглашениям). К указанным расходам также относятся расходы на приобретение исключительных прав на программы для ЭВМ и обновление программ для ЭВМ</w:t>
        <w:br/>
        <w:t>и баз данных;</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взносы, вклады и иные обязательные платежи, уплачиваемые некоммерческим организациям, если уплата таких взносов, вкладов и иных обязательных платежей является значимым условием для осуществления деятельности организациями - плательщиками таких взносов, вкладов или иных обязательных платежей;</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по набору работников, включая расходы на услуги специализированных организаций по подбору персонала;</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на канцелярские товары;</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на публикацию бухгалтерской отчетности, а также публикацию и иное раскрытие другой информации, если законодательством Российской Федерации на налогоплательщика возложена обязанность осуществлять их публикацию (раскрытие);</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связанные с представлением форм и сведений государственного статистического наблюдения, если законодательством Российской Федерации</w:t>
        <w:br/>
        <w:t>на налогоплательщика возложена обязанность представлять эту информацию;</w:t>
      </w:r>
    </w:p>
    <w:p>
      <w:pPr>
        <w:pStyle w:val="Normal"/>
        <w:widowControl/>
        <w:suppressAutoHyphens w:val="true"/>
        <w:bidi w:val="0"/>
        <w:spacing w:before="0" w:after="0"/>
        <w:ind w:left="0" w:right="0" w:firstLine="737"/>
        <w:jc w:val="both"/>
        <w:rPr>
          <w:rFonts w:ascii="Times New Roman" w:hAnsi="Times New Roman"/>
          <w:sz w:val="28"/>
          <w:szCs w:val="28"/>
        </w:rPr>
      </w:pPr>
      <w:r>
        <w:rPr>
          <w:rFonts w:ascii="Times New Roman" w:hAnsi="Times New Roman"/>
          <w:sz w:val="28"/>
          <w:szCs w:val="28"/>
        </w:rPr>
        <w:t>расходы некапитального характера, связанные с совершенствованием технологии, организации производства и управления;</w:t>
      </w:r>
    </w:p>
    <w:p>
      <w:pPr>
        <w:pStyle w:val="Normal"/>
        <w:widowControl/>
        <w:suppressAutoHyphens w:val="true"/>
        <w:bidi w:val="0"/>
        <w:spacing w:before="0" w:after="0"/>
        <w:ind w:left="0" w:right="0" w:firstLine="737"/>
        <w:jc w:val="both"/>
        <w:rPr/>
      </w:pPr>
      <w:r>
        <w:rPr>
          <w:rFonts w:ascii="Times New Roman" w:hAnsi="Times New Roman"/>
          <w:sz w:val="28"/>
          <w:szCs w:val="28"/>
        </w:rPr>
        <w:t>другие общехозяйственные расходы.</w:t>
      </w:r>
    </w:p>
    <w:sectPr>
      <w:headerReference w:type="even" r:id="rId275"/>
      <w:headerReference w:type="default" r:id="rId276"/>
      <w:footnotePr>
        <w:numFmt w:val="decimal"/>
      </w:footnotePr>
      <w:type w:val="nextPage"/>
      <w:pgSz w:w="11906" w:h="16838"/>
      <w:pgMar w:left="1134" w:right="567" w:header="283" w:top="97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3"/>
        <w:jc w:val="both"/>
        <w:rPr/>
      </w:pPr>
      <w:r>
        <w:rPr>
          <w:rStyle w:val="Style22"/>
        </w:rPr>
        <w:footnoteRef/>
      </w:r>
      <w:r>
        <w:rPr/>
        <w:t xml:space="preserve"> </w:t>
      </w:r>
      <w:r>
        <w:rPr/>
        <w:t xml:space="preserve">Собрание законодательства Российской Федерации, 2002, </w:t>
      </w:r>
      <w:r>
        <w:rPr>
          <w:sz w:val="20"/>
          <w:szCs w:val="20"/>
        </w:rPr>
        <w:t>№</w:t>
      </w:r>
      <w:r>
        <w:rPr/>
        <w:t xml:space="preserve"> 1, ст. 52; 2003, </w:t>
      </w:r>
      <w:r>
        <w:rPr>
          <w:sz w:val="20"/>
          <w:szCs w:val="20"/>
        </w:rPr>
        <w:t>№</w:t>
      </w:r>
      <w:r>
        <w:rPr/>
        <w:t xml:space="preserve"> 28, ст. 2940, </w:t>
      </w:r>
      <w:r>
        <w:rPr>
          <w:sz w:val="20"/>
          <w:szCs w:val="20"/>
        </w:rPr>
        <w:t>№</w:t>
      </w:r>
      <w:r>
        <w:rPr/>
        <w:t xml:space="preserve"> 33, ст. 3270; 2006,</w:t>
        <w:br/>
      </w:r>
      <w:r>
        <w:rPr>
          <w:sz w:val="20"/>
          <w:szCs w:val="20"/>
        </w:rPr>
        <w:t>№</w:t>
      </w:r>
      <w:r>
        <w:rPr/>
        <w:t xml:space="preserve"> 48, ст. 5028; 2008, </w:t>
      </w:r>
      <w:r>
        <w:rPr>
          <w:sz w:val="20"/>
          <w:szCs w:val="20"/>
        </w:rPr>
        <w:t>№</w:t>
      </w:r>
      <w:r>
        <w:rPr/>
        <w:t xml:space="preserve"> 39, ст. 4434; 2009, </w:t>
      </w:r>
      <w:r>
        <w:rPr>
          <w:sz w:val="20"/>
          <w:szCs w:val="20"/>
        </w:rPr>
        <w:t>№</w:t>
      </w:r>
      <w:r>
        <w:rPr/>
        <w:t xml:space="preserve"> 9, ст. 1128; 2010, </w:t>
      </w:r>
      <w:r>
        <w:rPr>
          <w:sz w:val="20"/>
          <w:szCs w:val="20"/>
        </w:rPr>
        <w:t>№</w:t>
      </w:r>
      <w:r>
        <w:rPr/>
        <w:t xml:space="preserve"> 51, ст. 6942; 2015, </w:t>
      </w:r>
      <w:r>
        <w:rPr>
          <w:sz w:val="20"/>
          <w:szCs w:val="20"/>
        </w:rPr>
        <w:t>№</w:t>
      </w:r>
      <w:r>
        <w:rPr/>
        <w:t xml:space="preserve"> 28, ст. 4239; 2016, </w:t>
      </w:r>
      <w:r>
        <w:rPr>
          <w:sz w:val="20"/>
          <w:szCs w:val="20"/>
        </w:rPr>
        <w:t>№</w:t>
      </w:r>
      <w:r>
        <w:rPr/>
        <w:t xml:space="preserve"> 29,</w:t>
        <w:br/>
        <w:t xml:space="preserve">ст. 4818; 2018, </w:t>
      </w:r>
      <w:r>
        <w:rPr>
          <w:sz w:val="20"/>
          <w:szCs w:val="20"/>
        </w:rPr>
        <w:t xml:space="preserve">№ </w:t>
      </w:r>
      <w:r>
        <w:rPr/>
        <w:t>19, ст. 2749.</w:t>
      </w:r>
    </w:p>
  </w:footnote>
  <w:footnote w:id="3">
    <w:p>
      <w:pPr>
        <w:pStyle w:val="Style33"/>
        <w:jc w:val="both"/>
        <w:rPr/>
      </w:pPr>
      <w:r>
        <w:rPr>
          <w:rStyle w:val="Style22"/>
        </w:rPr>
        <w:footnoteRef/>
      </w:r>
      <w:r>
        <w:rPr/>
        <w:t xml:space="preserve"> </w:t>
      </w:r>
      <w:r>
        <w:rPr/>
        <w:t>Пункт 1 статьи 5 Закона Российской Федерации от 07.02.1992 № 2300-1 «О защите прав потребителей».</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fldChar w:fldCharType="begin"/>
    </w:r>
    <w:r>
      <w:rPr/>
      <w:instrText> PAGE </w:instrText>
    </w:r>
    <w:r>
      <w:rPr/>
      <w:fldChar w:fldCharType="separate"/>
    </w:r>
    <w:r>
      <w:rPr/>
      <w:t>2</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fldChar w:fldCharType="begin"/>
    </w:r>
    <w:r>
      <w:rPr/>
      <w:instrText> PAGE </w:instrText>
    </w:r>
    <w:r>
      <w:rPr/>
      <w:fldChar w:fldCharType="separate"/>
    </w:r>
    <w:r>
      <w:rPr/>
      <w:t>59</w:t>
    </w:r>
    <w:r>
      <w:rPr/>
      <w:fldChar w:fldCharType="end"/>
    </w:r>
  </w:p>
</w:hdr>
</file>

<file path=word/settings.xml><?xml version="1.0" encoding="utf-8"?>
<w:settings xmlns:w="http://schemas.openxmlformats.org/wordprocessingml/2006/main">
  <w:zoom w:percent="100"/>
  <w:defaultTabStop w:val="709"/>
  <w:autoHyphenation w:val="true"/>
  <w:evenAndOddHeader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lock Text"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74cd"/>
    <w:pPr>
      <w:widowControl/>
      <w:suppressAutoHyphens w:val="true"/>
      <w:bidi w:val="0"/>
      <w:spacing w:before="0" w:after="0"/>
      <w:jc w:val="left"/>
    </w:pPr>
    <w:rPr>
      <w:rFonts w:ascii="Times New Roman" w:hAnsi="Times New Roman" w:eastAsia="Calibri" w:cs="" w:cstheme="minorBidi" w:eastAsiaTheme="minorHAnsi"/>
      <w:color w:val="auto"/>
      <w:kern w:val="0"/>
      <w:sz w:val="24"/>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241305"/>
    <w:rPr/>
  </w:style>
  <w:style w:type="character" w:styleId="Style15" w:customStyle="1">
    <w:name w:val="Нижний колонтитул Знак"/>
    <w:basedOn w:val="DefaultParagraphFont"/>
    <w:link w:val="a6"/>
    <w:uiPriority w:val="99"/>
    <w:qFormat/>
    <w:rsid w:val="00241305"/>
    <w:rPr/>
  </w:style>
  <w:style w:type="character" w:styleId="Style16" w:customStyle="1">
    <w:name w:val="Текст выноски Знак"/>
    <w:basedOn w:val="DefaultParagraphFont"/>
    <w:link w:val="a9"/>
    <w:uiPriority w:val="99"/>
    <w:semiHidden/>
    <w:qFormat/>
    <w:rsid w:val="00c836d2"/>
    <w:rPr>
      <w:rFonts w:ascii="Segoe UI" w:hAnsi="Segoe UI" w:cs="Segoe UI"/>
      <w:sz w:val="18"/>
      <w:szCs w:val="18"/>
    </w:rPr>
  </w:style>
  <w:style w:type="character" w:styleId="Style17" w:customStyle="1">
    <w:name w:val="Текст примечания Знак"/>
    <w:basedOn w:val="DefaultParagraphFont"/>
    <w:link w:val="ad"/>
    <w:uiPriority w:val="99"/>
    <w:semiHidden/>
    <w:qFormat/>
    <w:rsid w:val="009b0dcf"/>
    <w:rPr>
      <w:rFonts w:ascii="Calibri" w:hAnsi="Calibri" w:eastAsia="" w:asciiTheme="minorHAnsi" w:eastAsiaTheme="minorEastAsia" w:hAnsiTheme="minorHAnsi"/>
      <w:sz w:val="20"/>
      <w:szCs w:val="20"/>
      <w:lang w:eastAsia="ru-RU"/>
    </w:rPr>
  </w:style>
  <w:style w:type="character" w:styleId="Style18" w:customStyle="1">
    <w:name w:val="Тема примечания Знак"/>
    <w:basedOn w:val="Style17"/>
    <w:link w:val="af"/>
    <w:uiPriority w:val="99"/>
    <w:semiHidden/>
    <w:qFormat/>
    <w:rsid w:val="009b0dcf"/>
    <w:rPr>
      <w:rFonts w:ascii="Calibri" w:hAnsi="Calibri" w:eastAsia="" w:asciiTheme="minorHAnsi" w:eastAsiaTheme="minorEastAsia" w:hAnsiTheme="minorHAnsi"/>
      <w:b/>
      <w:bCs/>
      <w:sz w:val="20"/>
      <w:szCs w:val="20"/>
      <w:lang w:eastAsia="ru-RU"/>
    </w:rPr>
  </w:style>
  <w:style w:type="character" w:styleId="Style19" w:customStyle="1">
    <w:name w:val="Текст сноски Знак"/>
    <w:basedOn w:val="DefaultParagraphFont"/>
    <w:link w:val="af0"/>
    <w:uiPriority w:val="99"/>
    <w:semiHidden/>
    <w:qFormat/>
    <w:rsid w:val="00c907e0"/>
    <w:rPr>
      <w:sz w:val="20"/>
      <w:szCs w:val="20"/>
    </w:rPr>
  </w:style>
  <w:style w:type="character" w:styleId="Style20">
    <w:name w:val="Привязка сноски"/>
    <w:rPr>
      <w:vertAlign w:val="superscript"/>
    </w:rPr>
  </w:style>
  <w:style w:type="character" w:styleId="FootnoteCharacters">
    <w:name w:val="Footnote Characters"/>
    <w:basedOn w:val="DefaultParagraphFont"/>
    <w:uiPriority w:val="99"/>
    <w:semiHidden/>
    <w:unhideWhenUsed/>
    <w:qFormat/>
    <w:rsid w:val="00c907e0"/>
    <w:rPr>
      <w:vertAlign w:val="superscript"/>
    </w:rPr>
  </w:style>
  <w:style w:type="character" w:styleId="Style21">
    <w:name w:val="Интернет-ссылка"/>
    <w:rPr>
      <w:color w:val="000080"/>
      <w:u w:val="single"/>
      <w:lang w:val="zxx" w:eastAsia="zxx" w:bidi="zxx"/>
    </w:rPr>
  </w:style>
  <w:style w:type="character" w:styleId="Style22">
    <w:name w:val="Символ сноски"/>
    <w:qFormat/>
    <w:rPr/>
  </w:style>
  <w:style w:type="character" w:styleId="Style23">
    <w:name w:val="Привязка концевой сноски"/>
    <w:rPr>
      <w:vertAlign w:val="superscript"/>
    </w:rPr>
  </w:style>
  <w:style w:type="character" w:styleId="Style24">
    <w:name w:val="Символ концевой сноски"/>
    <w:qFormat/>
    <w:rPr/>
  </w:style>
  <w:style w:type="paragraph" w:styleId="Style25">
    <w:name w:val="Заголовок"/>
    <w:basedOn w:val="Normal"/>
    <w:next w:val="Style26"/>
    <w:qFormat/>
    <w:pPr>
      <w:keepNext w:val="true"/>
      <w:spacing w:before="240" w:after="120"/>
    </w:pPr>
    <w:rPr>
      <w:rFonts w:ascii="Liberation Sans" w:hAnsi="Liberation Sans" w:eastAsia="Tahoma" w:cs="Droid Sans Devanagari"/>
      <w:sz w:val="28"/>
      <w:szCs w:val="28"/>
    </w:rPr>
  </w:style>
  <w:style w:type="paragraph" w:styleId="Style26">
    <w:name w:val="Body Text"/>
    <w:basedOn w:val="Normal"/>
    <w:pPr>
      <w:spacing w:lineRule="auto" w:line="276" w:before="0" w:after="140"/>
    </w:pPr>
    <w:rPr/>
  </w:style>
  <w:style w:type="paragraph" w:styleId="Style27">
    <w:name w:val="List"/>
    <w:basedOn w:val="Style26"/>
    <w:pPr/>
    <w:rPr>
      <w:rFonts w:cs="Droid Sans Devanagari"/>
    </w:rPr>
  </w:style>
  <w:style w:type="paragraph" w:styleId="Style28">
    <w:name w:val="Caption"/>
    <w:basedOn w:val="Normal"/>
    <w:qFormat/>
    <w:pPr>
      <w:suppressLineNumbers/>
      <w:spacing w:before="120" w:after="120"/>
    </w:pPr>
    <w:rPr>
      <w:rFonts w:cs="Droid Sans Devanagari"/>
      <w:i/>
      <w:iCs/>
      <w:sz w:val="24"/>
      <w:szCs w:val="24"/>
    </w:rPr>
  </w:style>
  <w:style w:type="paragraph" w:styleId="Style29">
    <w:name w:val="Указатель"/>
    <w:basedOn w:val="Normal"/>
    <w:qFormat/>
    <w:pPr>
      <w:suppressLineNumbers/>
    </w:pPr>
    <w:rPr>
      <w:rFonts w:cs="Droid Sans Devanagari"/>
    </w:rPr>
  </w:style>
  <w:style w:type="paragraph" w:styleId="BlockText">
    <w:name w:val="Block Text"/>
    <w:basedOn w:val="Normal"/>
    <w:semiHidden/>
    <w:unhideWhenUsed/>
    <w:qFormat/>
    <w:rsid w:val="006074cd"/>
    <w:pPr>
      <w:ind w:left="252" w:right="17" w:hanging="0"/>
      <w:jc w:val="both"/>
    </w:pPr>
    <w:rPr>
      <w:rFonts w:eastAsia="Calibri" w:cs="Times New Roman"/>
      <w:color w:val="323232"/>
      <w:spacing w:val="-3"/>
      <w:szCs w:val="26"/>
      <w:lang w:eastAsia="ru-RU"/>
    </w:rPr>
  </w:style>
  <w:style w:type="paragraph" w:styleId="Style30">
    <w:name w:val="Верхний и нижний колонтитулы"/>
    <w:basedOn w:val="Normal"/>
    <w:qFormat/>
    <w:pPr/>
    <w:rPr/>
  </w:style>
  <w:style w:type="paragraph" w:styleId="Style31">
    <w:name w:val="Header"/>
    <w:basedOn w:val="Normal"/>
    <w:link w:val="a5"/>
    <w:uiPriority w:val="99"/>
    <w:unhideWhenUsed/>
    <w:rsid w:val="00241305"/>
    <w:pPr>
      <w:tabs>
        <w:tab w:val="clear" w:pos="709"/>
        <w:tab w:val="center" w:pos="4677" w:leader="none"/>
        <w:tab w:val="right" w:pos="9355" w:leader="none"/>
      </w:tabs>
    </w:pPr>
    <w:rPr/>
  </w:style>
  <w:style w:type="paragraph" w:styleId="Style32">
    <w:name w:val="Footer"/>
    <w:basedOn w:val="Normal"/>
    <w:link w:val="a7"/>
    <w:uiPriority w:val="99"/>
    <w:unhideWhenUsed/>
    <w:rsid w:val="00241305"/>
    <w:pPr>
      <w:tabs>
        <w:tab w:val="clear" w:pos="709"/>
        <w:tab w:val="center" w:pos="4677" w:leader="none"/>
        <w:tab w:val="right" w:pos="9355" w:leader="none"/>
      </w:tabs>
    </w:pPr>
    <w:rPr/>
  </w:style>
  <w:style w:type="paragraph" w:styleId="ListParagraph">
    <w:name w:val="List Paragraph"/>
    <w:basedOn w:val="Normal"/>
    <w:uiPriority w:val="34"/>
    <w:qFormat/>
    <w:rsid w:val="00fc1145"/>
    <w:pPr>
      <w:spacing w:before="0" w:after="0"/>
      <w:ind w:left="720" w:hanging="0"/>
      <w:contextualSpacing/>
    </w:pPr>
    <w:rPr/>
  </w:style>
  <w:style w:type="paragraph" w:styleId="BalloonText">
    <w:name w:val="Balloon Text"/>
    <w:basedOn w:val="Normal"/>
    <w:link w:val="aa"/>
    <w:uiPriority w:val="99"/>
    <w:semiHidden/>
    <w:unhideWhenUsed/>
    <w:qFormat/>
    <w:rsid w:val="00c836d2"/>
    <w:pPr/>
    <w:rPr>
      <w:rFonts w:ascii="Segoe UI" w:hAnsi="Segoe UI" w:cs="Segoe UI"/>
      <w:sz w:val="18"/>
      <w:szCs w:val="18"/>
    </w:rPr>
  </w:style>
  <w:style w:type="paragraph" w:styleId="NormalWeb">
    <w:name w:val="Normal (Web)"/>
    <w:basedOn w:val="Normal"/>
    <w:uiPriority w:val="99"/>
    <w:unhideWhenUsed/>
    <w:qFormat/>
    <w:rsid w:val="00f13e9d"/>
    <w:pPr>
      <w:spacing w:beforeAutospacing="1" w:afterAutospacing="1"/>
    </w:pPr>
    <w:rPr>
      <w:rFonts w:eastAsia="Times New Roman" w:cs="Times New Roman"/>
      <w:szCs w:val="24"/>
      <w:lang w:eastAsia="ru-RU"/>
    </w:rPr>
  </w:style>
  <w:style w:type="paragraph" w:styleId="Annotationtext">
    <w:name w:val="annotation text"/>
    <w:basedOn w:val="Normal"/>
    <w:link w:val="ac"/>
    <w:uiPriority w:val="99"/>
    <w:semiHidden/>
    <w:unhideWhenUsed/>
    <w:qFormat/>
    <w:rsid w:val="009b0dcf"/>
    <w:pPr>
      <w:spacing w:lineRule="auto" w:line="259" w:before="0" w:after="160"/>
    </w:pPr>
    <w:rPr>
      <w:rFonts w:ascii="Calibri" w:hAnsi="Calibri" w:eastAsia="" w:asciiTheme="minorHAnsi" w:eastAsiaTheme="minorEastAsia" w:hAnsiTheme="minorHAnsi"/>
      <w:sz w:val="20"/>
      <w:szCs w:val="20"/>
      <w:lang w:eastAsia="ru-RU"/>
    </w:rPr>
  </w:style>
  <w:style w:type="paragraph" w:styleId="Annotationsubject">
    <w:name w:val="annotation subject"/>
    <w:basedOn w:val="Annotationtext"/>
    <w:next w:val="Annotationtext"/>
    <w:link w:val="ae"/>
    <w:uiPriority w:val="99"/>
    <w:semiHidden/>
    <w:unhideWhenUsed/>
    <w:qFormat/>
    <w:rsid w:val="009b0dcf"/>
    <w:pPr/>
    <w:rPr>
      <w:b/>
      <w:bCs/>
    </w:rPr>
  </w:style>
  <w:style w:type="paragraph" w:styleId="ConsPlusNormal" w:customStyle="1">
    <w:name w:val="ConsPlusNormal"/>
    <w:qFormat/>
    <w:rsid w:val="009b0dcf"/>
    <w:pPr>
      <w:widowControl w:val="false"/>
      <w:suppressAutoHyphens w:val="true"/>
      <w:bidi w:val="0"/>
      <w:spacing w:before="0" w:after="0"/>
      <w:jc w:val="left"/>
    </w:pPr>
    <w:rPr>
      <w:rFonts w:ascii="Times New Roman" w:hAnsi="Times New Roman" w:eastAsia="" w:cs="Times New Roman" w:eastAsiaTheme="minorEastAsia"/>
      <w:color w:val="auto"/>
      <w:kern w:val="0"/>
      <w:sz w:val="24"/>
      <w:szCs w:val="24"/>
      <w:lang w:val="ru-RU" w:eastAsia="ru-RU" w:bidi="ar-SA"/>
    </w:rPr>
  </w:style>
  <w:style w:type="paragraph" w:styleId="ConsPlusTitle" w:customStyle="1">
    <w:name w:val="ConsPlusTitle"/>
    <w:uiPriority w:val="99"/>
    <w:qFormat/>
    <w:rsid w:val="009b0dcf"/>
    <w:pPr>
      <w:widowControl w:val="false"/>
      <w:suppressAutoHyphens w:val="true"/>
      <w:bidi w:val="0"/>
      <w:spacing w:before="0" w:after="0"/>
      <w:jc w:val="left"/>
    </w:pPr>
    <w:rPr>
      <w:rFonts w:ascii="Arial" w:hAnsi="Arial" w:eastAsia="" w:cs="Arial" w:eastAsiaTheme="minorEastAsia"/>
      <w:b/>
      <w:bCs/>
      <w:color w:val="auto"/>
      <w:kern w:val="0"/>
      <w:sz w:val="24"/>
      <w:szCs w:val="24"/>
      <w:lang w:val="ru-RU" w:eastAsia="ru-RU" w:bidi="ar-SA"/>
    </w:rPr>
  </w:style>
  <w:style w:type="paragraph" w:styleId="Style33">
    <w:name w:val="Footnote Text"/>
    <w:basedOn w:val="Normal"/>
    <w:link w:val="af1"/>
    <w:uiPriority w:val="99"/>
    <w:semiHidden/>
    <w:unhideWhenUsed/>
    <w:rsid w:val="00c907e0"/>
    <w:pPr/>
    <w:rPr>
      <w:sz w:val="20"/>
      <w:szCs w:val="20"/>
    </w:rPr>
  </w:style>
  <w:style w:type="paragraph" w:styleId="Style34">
    <w:name w:val="Содержимое таблицы"/>
    <w:basedOn w:val="Normal"/>
    <w:qFormat/>
    <w:pPr>
      <w:widowControl w:val="false"/>
      <w:suppressLineNumbers/>
    </w:pPr>
    <w:rPr/>
  </w:style>
  <w:style w:type="paragraph" w:styleId="Style35">
    <w:name w:val="Заголовок таблицы"/>
    <w:basedOn w:val="Style34"/>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354535&amp;date=24.01.2021&amp;demo=2&amp;dst=100137&amp;fld=134" TargetMode="External"/><Relationship Id="rId3" Type="http://schemas.openxmlformats.org/officeDocument/2006/relationships/image" Target="media/image1.wmf"/><Relationship Id="rId4" Type="http://schemas.openxmlformats.org/officeDocument/2006/relationships/image" Target="media/image2.wmf"/><Relationship Id="rId5" Type="http://schemas.openxmlformats.org/officeDocument/2006/relationships/image" Target="media/image3.wmf"/><Relationship Id="rId6" Type="http://schemas.openxmlformats.org/officeDocument/2006/relationships/image" Target="media/image4.wmf"/><Relationship Id="rId7" Type="http://schemas.openxmlformats.org/officeDocument/2006/relationships/header" Target="header1.xml"/><Relationship Id="rId8" Type="http://schemas.openxmlformats.org/officeDocument/2006/relationships/image" Target="media/image5.wmf"/><Relationship Id="rId9" Type="http://schemas.openxmlformats.org/officeDocument/2006/relationships/hyperlink" Target="https://login.consultant.ru/link/?req=doc&amp;base=LAW&amp;n=355977&amp;date=24.01.2021&amp;demo=2" TargetMode="External"/><Relationship Id="rId10" Type="http://schemas.openxmlformats.org/officeDocument/2006/relationships/image" Target="media/image6.wmf"/><Relationship Id="rId11" Type="http://schemas.openxmlformats.org/officeDocument/2006/relationships/image" Target="media/image7.wmf"/><Relationship Id="rId12" Type="http://schemas.openxmlformats.org/officeDocument/2006/relationships/image" Target="media/image8.wmf"/><Relationship Id="rId13" Type="http://schemas.openxmlformats.org/officeDocument/2006/relationships/image" Target="media/image9.wmf"/><Relationship Id="rId14" Type="http://schemas.openxmlformats.org/officeDocument/2006/relationships/image" Target="media/image10.wmf"/><Relationship Id="rId15" Type="http://schemas.openxmlformats.org/officeDocument/2006/relationships/image" Target="media/image11.wmf"/><Relationship Id="rId16" Type="http://schemas.openxmlformats.org/officeDocument/2006/relationships/image" Target="media/image12.wmf"/><Relationship Id="rId17" Type="http://schemas.openxmlformats.org/officeDocument/2006/relationships/hyperlink" Target="https://login.consultant.ru/link/?req=doc&amp;base=LAW&amp;n=354535&amp;date=24.01.2021&amp;demo=2&amp;dst=100147&amp;fld=134" TargetMode="External"/><Relationship Id="rId18" Type="http://schemas.openxmlformats.org/officeDocument/2006/relationships/image" Target="media/image13.wmf"/><Relationship Id="rId19" Type="http://schemas.openxmlformats.org/officeDocument/2006/relationships/image" Target="media/image14.wmf"/><Relationship Id="rId20" Type="http://schemas.openxmlformats.org/officeDocument/2006/relationships/image" Target="media/image15.wmf"/><Relationship Id="rId21" Type="http://schemas.openxmlformats.org/officeDocument/2006/relationships/image" Target="media/image16.wmf"/><Relationship Id="rId22" Type="http://schemas.openxmlformats.org/officeDocument/2006/relationships/image" Target="media/image17.wmf"/><Relationship Id="rId23" Type="http://schemas.openxmlformats.org/officeDocument/2006/relationships/image" Target="media/image18.wmf"/><Relationship Id="rId24" Type="http://schemas.openxmlformats.org/officeDocument/2006/relationships/image" Target="media/image19.wmf"/><Relationship Id="rId25" Type="http://schemas.openxmlformats.org/officeDocument/2006/relationships/image" Target="media/image20.wmf"/><Relationship Id="rId26" Type="http://schemas.openxmlformats.org/officeDocument/2006/relationships/image" Target="media/image21.wmf"/><Relationship Id="rId27" Type="http://schemas.openxmlformats.org/officeDocument/2006/relationships/image" Target="media/image22.wmf"/><Relationship Id="rId28" Type="http://schemas.openxmlformats.org/officeDocument/2006/relationships/image" Target="media/image23.wmf"/><Relationship Id="rId29" Type="http://schemas.openxmlformats.org/officeDocument/2006/relationships/image" Target="media/image24.wmf"/><Relationship Id="rId30" Type="http://schemas.openxmlformats.org/officeDocument/2006/relationships/image" Target="media/image25.wmf"/><Relationship Id="rId31" Type="http://schemas.openxmlformats.org/officeDocument/2006/relationships/image" Target="media/image26.wmf"/><Relationship Id="rId32" Type="http://schemas.openxmlformats.org/officeDocument/2006/relationships/image" Target="media/image27.wmf"/><Relationship Id="rId33" Type="http://schemas.openxmlformats.org/officeDocument/2006/relationships/image" Target="media/image28.wmf"/><Relationship Id="rId34" Type="http://schemas.openxmlformats.org/officeDocument/2006/relationships/image" Target="media/image29.wmf"/><Relationship Id="rId35" Type="http://schemas.openxmlformats.org/officeDocument/2006/relationships/image" Target="media/image30.wmf"/><Relationship Id="rId36" Type="http://schemas.openxmlformats.org/officeDocument/2006/relationships/image" Target="media/image31.wmf"/><Relationship Id="rId37" Type="http://schemas.openxmlformats.org/officeDocument/2006/relationships/image" Target="media/image32.wmf"/><Relationship Id="rId38" Type="http://schemas.openxmlformats.org/officeDocument/2006/relationships/image" Target="media/image33.wmf"/><Relationship Id="rId39" Type="http://schemas.openxmlformats.org/officeDocument/2006/relationships/image" Target="media/image34.wmf"/><Relationship Id="rId40" Type="http://schemas.openxmlformats.org/officeDocument/2006/relationships/image" Target="media/image35.wmf"/><Relationship Id="rId41" Type="http://schemas.openxmlformats.org/officeDocument/2006/relationships/image" Target="media/image36.wmf"/><Relationship Id="rId42" Type="http://schemas.openxmlformats.org/officeDocument/2006/relationships/image" Target="media/image37.wmf"/><Relationship Id="rId43" Type="http://schemas.openxmlformats.org/officeDocument/2006/relationships/image" Target="media/image38.wmf"/><Relationship Id="rId44" Type="http://schemas.openxmlformats.org/officeDocument/2006/relationships/image" Target="media/image39.wmf"/><Relationship Id="rId45" Type="http://schemas.openxmlformats.org/officeDocument/2006/relationships/image" Target="media/image40.wmf"/><Relationship Id="rId46" Type="http://schemas.openxmlformats.org/officeDocument/2006/relationships/image" Target="media/image41.wmf"/><Relationship Id="rId47" Type="http://schemas.openxmlformats.org/officeDocument/2006/relationships/image" Target="media/image42.wmf"/><Relationship Id="rId48" Type="http://schemas.openxmlformats.org/officeDocument/2006/relationships/image" Target="media/image43.wmf"/><Relationship Id="rId49" Type="http://schemas.openxmlformats.org/officeDocument/2006/relationships/image" Target="media/image44.wmf"/><Relationship Id="rId50" Type="http://schemas.openxmlformats.org/officeDocument/2006/relationships/image" Target="media/image45.wmf"/><Relationship Id="rId51" Type="http://schemas.openxmlformats.org/officeDocument/2006/relationships/image" Target="media/image46.wmf"/><Relationship Id="rId52" Type="http://schemas.openxmlformats.org/officeDocument/2006/relationships/image" Target="media/image47.wmf"/><Relationship Id="rId53" Type="http://schemas.openxmlformats.org/officeDocument/2006/relationships/image" Target="media/image48.wmf"/><Relationship Id="rId54" Type="http://schemas.openxmlformats.org/officeDocument/2006/relationships/image" Target="media/image49.wmf"/><Relationship Id="rId55" Type="http://schemas.openxmlformats.org/officeDocument/2006/relationships/image" Target="media/image50.wmf"/><Relationship Id="rId56" Type="http://schemas.openxmlformats.org/officeDocument/2006/relationships/image" Target="media/image51.wmf"/><Relationship Id="rId57" Type="http://schemas.openxmlformats.org/officeDocument/2006/relationships/image" Target="media/image52.wmf"/><Relationship Id="rId58" Type="http://schemas.openxmlformats.org/officeDocument/2006/relationships/hyperlink" Target="https://login.consultant.ru/link/?req=doc&amp;base=LAW&amp;n=370225&amp;date=24.01.2021&amp;demo=2&amp;dst=291&amp;fld=134" TargetMode="External"/><Relationship Id="rId59" Type="http://schemas.openxmlformats.org/officeDocument/2006/relationships/hyperlink" Target="https://login.consultant.ru/link/?req=doc&amp;base=LAW&amp;n=370225&amp;date=24.01.2021&amp;demo=2&amp;dst=311&amp;fld=134" TargetMode="External"/><Relationship Id="rId60" Type="http://schemas.openxmlformats.org/officeDocument/2006/relationships/image" Target="media/image53.wmf"/><Relationship Id="rId61" Type="http://schemas.openxmlformats.org/officeDocument/2006/relationships/image" Target="media/image54.wmf"/><Relationship Id="rId62" Type="http://schemas.openxmlformats.org/officeDocument/2006/relationships/image" Target="media/image55.wmf"/><Relationship Id="rId63" Type="http://schemas.openxmlformats.org/officeDocument/2006/relationships/image" Target="media/image56.wmf"/><Relationship Id="rId64" Type="http://schemas.openxmlformats.org/officeDocument/2006/relationships/image" Target="media/image57.wmf"/><Relationship Id="rId65" Type="http://schemas.openxmlformats.org/officeDocument/2006/relationships/hyperlink" Target="https://login.consultant.ru/link/?req=doc&amp;base=LAW&amp;n=370225&amp;date=24.01.2021&amp;demo=2&amp;dst=291&amp;fld=134" TargetMode="External"/><Relationship Id="rId66" Type="http://schemas.openxmlformats.org/officeDocument/2006/relationships/hyperlink" Target="https://login.consultant.ru/link/?req=doc&amp;base=LAW&amp;n=370225&amp;date=24.01.2021&amp;demo=2&amp;dst=311&amp;fld=134" TargetMode="External"/><Relationship Id="rId67" Type="http://schemas.openxmlformats.org/officeDocument/2006/relationships/hyperlink" Target="https://login.consultant.ru/link/?req=doc&amp;base=LAW&amp;n=356285&amp;date=24.01.2021&amp;demo=2&amp;dst=100003&amp;fld=134" TargetMode="External"/><Relationship Id="rId68" Type="http://schemas.openxmlformats.org/officeDocument/2006/relationships/hyperlink" Target="https://login.consultant.ru/link/?req=doc&amp;base=LAW&amp;n=326022&amp;date=24.01.2021&amp;demo=2&amp;dst=100003&amp;fld=134" TargetMode="External"/><Relationship Id="rId69" Type="http://schemas.openxmlformats.org/officeDocument/2006/relationships/image" Target="media/image58.wmf"/><Relationship Id="rId70" Type="http://schemas.openxmlformats.org/officeDocument/2006/relationships/image" Target="media/image59.wmf"/><Relationship Id="rId71" Type="http://schemas.openxmlformats.org/officeDocument/2006/relationships/image" Target="media/image60.wmf"/><Relationship Id="rId72" Type="http://schemas.openxmlformats.org/officeDocument/2006/relationships/image" Target="media/image61.wmf"/><Relationship Id="rId73" Type="http://schemas.openxmlformats.org/officeDocument/2006/relationships/image" Target="media/image62.wmf"/><Relationship Id="rId74" Type="http://schemas.openxmlformats.org/officeDocument/2006/relationships/image" Target="media/image63.wmf"/><Relationship Id="rId75" Type="http://schemas.openxmlformats.org/officeDocument/2006/relationships/hyperlink" Target="https://login.consultant.ru/link/?req=doc&amp;base=LAW&amp;n=370225&amp;date=24.01.2021&amp;demo=2&amp;dst=291&amp;fld=134" TargetMode="External"/><Relationship Id="rId76" Type="http://schemas.openxmlformats.org/officeDocument/2006/relationships/hyperlink" Target="https://login.consultant.ru/link/?req=doc&amp;base=LAW&amp;n=370225&amp;date=24.01.2021&amp;demo=2&amp;dst=311&amp;fld=134" TargetMode="External"/><Relationship Id="rId77" Type="http://schemas.openxmlformats.org/officeDocument/2006/relationships/image" Target="media/image64.wmf"/><Relationship Id="rId78" Type="http://schemas.openxmlformats.org/officeDocument/2006/relationships/image" Target="media/image65.wmf"/><Relationship Id="rId79" Type="http://schemas.openxmlformats.org/officeDocument/2006/relationships/image" Target="media/image66.wmf"/><Relationship Id="rId80" Type="http://schemas.openxmlformats.org/officeDocument/2006/relationships/image" Target="media/image67.wmf"/><Relationship Id="rId81" Type="http://schemas.openxmlformats.org/officeDocument/2006/relationships/hyperlink" Target="https://login.consultant.ru/link/?req=doc&amp;base=LAW&amp;n=370225&amp;date=24.01.2021&amp;demo=2&amp;dst=291&amp;fld=134" TargetMode="External"/><Relationship Id="rId82" Type="http://schemas.openxmlformats.org/officeDocument/2006/relationships/hyperlink" Target="https://login.consultant.ru/link/?req=doc&amp;base=LAW&amp;n=370225&amp;date=24.01.2021&amp;demo=2&amp;dst=311&amp;fld=134" TargetMode="External"/><Relationship Id="rId83" Type="http://schemas.openxmlformats.org/officeDocument/2006/relationships/hyperlink" Target="https://login.consultant.ru/link/?req=doc&amp;base=LAW&amp;n=356285&amp;date=24.01.2021&amp;demo=2&amp;dst=100003&amp;fld=134" TargetMode="External"/><Relationship Id="rId84" Type="http://schemas.openxmlformats.org/officeDocument/2006/relationships/hyperlink" Target="https://login.consultant.ru/link/?req=doc&amp;base=LAW&amp;n=326022&amp;date=24.01.2021&amp;demo=2&amp;dst=100003&amp;fld=134" TargetMode="External"/><Relationship Id="rId85" Type="http://schemas.openxmlformats.org/officeDocument/2006/relationships/image" Target="media/image68.wmf"/><Relationship Id="rId86" Type="http://schemas.openxmlformats.org/officeDocument/2006/relationships/image" Target="media/image69.wmf"/><Relationship Id="rId87" Type="http://schemas.openxmlformats.org/officeDocument/2006/relationships/image" Target="media/image70.wmf"/><Relationship Id="rId88" Type="http://schemas.openxmlformats.org/officeDocument/2006/relationships/image" Target="media/image71.wmf"/><Relationship Id="rId89" Type="http://schemas.openxmlformats.org/officeDocument/2006/relationships/image" Target="media/image72.wmf"/><Relationship Id="rId90" Type="http://schemas.openxmlformats.org/officeDocument/2006/relationships/image" Target="media/image73.wmf"/><Relationship Id="rId91" Type="http://schemas.openxmlformats.org/officeDocument/2006/relationships/image" Target="media/image74.wmf"/><Relationship Id="rId92" Type="http://schemas.openxmlformats.org/officeDocument/2006/relationships/image" Target="media/image75.wmf"/><Relationship Id="rId93" Type="http://schemas.openxmlformats.org/officeDocument/2006/relationships/image" Target="media/image76.wmf"/><Relationship Id="rId94" Type="http://schemas.openxmlformats.org/officeDocument/2006/relationships/image" Target="media/image77.wmf"/><Relationship Id="rId95" Type="http://schemas.openxmlformats.org/officeDocument/2006/relationships/image" Target="media/image78.wmf"/><Relationship Id="rId96" Type="http://schemas.openxmlformats.org/officeDocument/2006/relationships/image" Target="media/image79.wmf"/><Relationship Id="rId97" Type="http://schemas.openxmlformats.org/officeDocument/2006/relationships/hyperlink" Target="https://login.consultant.ru/link/?req=doc&amp;base=LAW&amp;n=43547&amp;date=24.01.2021&amp;demo=2&amp;dst=100158&amp;fld=134" TargetMode="External"/><Relationship Id="rId98" Type="http://schemas.openxmlformats.org/officeDocument/2006/relationships/image" Target="media/image80.wmf"/><Relationship Id="rId99" Type="http://schemas.openxmlformats.org/officeDocument/2006/relationships/image" Target="media/image81.wmf"/><Relationship Id="rId100" Type="http://schemas.openxmlformats.org/officeDocument/2006/relationships/image" Target="media/image82.wmf"/><Relationship Id="rId101" Type="http://schemas.openxmlformats.org/officeDocument/2006/relationships/image" Target="media/image83.wmf"/><Relationship Id="rId102" Type="http://schemas.openxmlformats.org/officeDocument/2006/relationships/hyperlink" Target="https://login.consultant.ru/link/?req=doc&amp;base=LAW&amp;n=371141&amp;date=24.01.2021&amp;demo=2&amp;dst=100032&amp;fld=134" TargetMode="External"/><Relationship Id="rId103" Type="http://schemas.openxmlformats.org/officeDocument/2006/relationships/image" Target="media/image84.wmf"/><Relationship Id="rId104" Type="http://schemas.openxmlformats.org/officeDocument/2006/relationships/image" Target="media/image85.wmf"/><Relationship Id="rId105" Type="http://schemas.openxmlformats.org/officeDocument/2006/relationships/image" Target="media/image86.wmf"/><Relationship Id="rId106" Type="http://schemas.openxmlformats.org/officeDocument/2006/relationships/image" Target="media/image87.wmf"/><Relationship Id="rId107" Type="http://schemas.openxmlformats.org/officeDocument/2006/relationships/image" Target="media/image88.wmf"/><Relationship Id="rId108" Type="http://schemas.openxmlformats.org/officeDocument/2006/relationships/image" Target="media/image89.wmf"/><Relationship Id="rId109" Type="http://schemas.openxmlformats.org/officeDocument/2006/relationships/image" Target="media/image90.wmf"/><Relationship Id="rId110" Type="http://schemas.openxmlformats.org/officeDocument/2006/relationships/image" Target="media/image91.wmf"/><Relationship Id="rId111" Type="http://schemas.openxmlformats.org/officeDocument/2006/relationships/image" Target="media/image92.wmf"/><Relationship Id="rId112" Type="http://schemas.openxmlformats.org/officeDocument/2006/relationships/image" Target="media/image93.wmf"/><Relationship Id="rId113" Type="http://schemas.openxmlformats.org/officeDocument/2006/relationships/image" Target="media/image94.wmf"/><Relationship Id="rId114" Type="http://schemas.openxmlformats.org/officeDocument/2006/relationships/image" Target="media/image95.wmf"/><Relationship Id="rId115" Type="http://schemas.openxmlformats.org/officeDocument/2006/relationships/image" Target="media/image96.wmf"/><Relationship Id="rId116" Type="http://schemas.openxmlformats.org/officeDocument/2006/relationships/image" Target="media/image97.wmf"/><Relationship Id="rId117" Type="http://schemas.openxmlformats.org/officeDocument/2006/relationships/image" Target="media/image98.wmf"/><Relationship Id="rId118" Type="http://schemas.openxmlformats.org/officeDocument/2006/relationships/hyperlink" Target="https://login.consultant.ru/link/?req=doc&amp;base=LAW&amp;n=370225&amp;date=24.01.2021&amp;demo=2&amp;dst=291&amp;fld=134" TargetMode="External"/><Relationship Id="rId119" Type="http://schemas.openxmlformats.org/officeDocument/2006/relationships/hyperlink" Target="https://login.consultant.ru/link/?req=doc&amp;base=LAW&amp;n=370225&amp;date=24.01.2021&amp;demo=2&amp;dst=311&amp;fld=134" TargetMode="External"/><Relationship Id="rId120" Type="http://schemas.openxmlformats.org/officeDocument/2006/relationships/hyperlink" Target="https://login.consultant.ru/link/?req=doc&amp;base=LAW&amp;n=370225&amp;date=24.01.2021&amp;demo=2&amp;dst=291&amp;fld=134" TargetMode="External"/><Relationship Id="rId121" Type="http://schemas.openxmlformats.org/officeDocument/2006/relationships/hyperlink" Target="https://login.consultant.ru/link/?req=doc&amp;base=LAW&amp;n=370225&amp;date=24.01.2021&amp;demo=2&amp;dst=311&amp;fld=134" TargetMode="External"/><Relationship Id="rId122" Type="http://schemas.openxmlformats.org/officeDocument/2006/relationships/image" Target="media/image99.wmf"/><Relationship Id="rId123" Type="http://schemas.openxmlformats.org/officeDocument/2006/relationships/image" Target="media/image100.wmf"/><Relationship Id="rId124" Type="http://schemas.openxmlformats.org/officeDocument/2006/relationships/image" Target="media/image101.wmf"/><Relationship Id="rId125" Type="http://schemas.openxmlformats.org/officeDocument/2006/relationships/image" Target="media/image102.wmf"/><Relationship Id="rId126" Type="http://schemas.openxmlformats.org/officeDocument/2006/relationships/image" Target="media/image103.wmf"/><Relationship Id="rId127" Type="http://schemas.openxmlformats.org/officeDocument/2006/relationships/image" Target="media/image104.wmf"/><Relationship Id="rId128" Type="http://schemas.openxmlformats.org/officeDocument/2006/relationships/image" Target="media/image105.wmf"/><Relationship Id="rId129" Type="http://schemas.openxmlformats.org/officeDocument/2006/relationships/image" Target="media/image106.wmf"/><Relationship Id="rId130" Type="http://schemas.openxmlformats.org/officeDocument/2006/relationships/image" Target="media/image107.wmf"/><Relationship Id="rId131" Type="http://schemas.openxmlformats.org/officeDocument/2006/relationships/image" Target="media/image108.wmf"/><Relationship Id="rId132" Type="http://schemas.openxmlformats.org/officeDocument/2006/relationships/image" Target="media/image109.wmf"/><Relationship Id="rId133" Type="http://schemas.openxmlformats.org/officeDocument/2006/relationships/image" Target="media/image110.wmf"/><Relationship Id="rId134" Type="http://schemas.openxmlformats.org/officeDocument/2006/relationships/image" Target="media/image111.wmf"/><Relationship Id="rId135" Type="http://schemas.openxmlformats.org/officeDocument/2006/relationships/image" Target="media/image112.wmf"/><Relationship Id="rId136" Type="http://schemas.openxmlformats.org/officeDocument/2006/relationships/image" Target="media/image113.wmf"/><Relationship Id="rId137" Type="http://schemas.openxmlformats.org/officeDocument/2006/relationships/image" Target="media/image114.wmf"/><Relationship Id="rId138" Type="http://schemas.openxmlformats.org/officeDocument/2006/relationships/image" Target="media/image115.wmf"/><Relationship Id="rId139" Type="http://schemas.openxmlformats.org/officeDocument/2006/relationships/image" Target="media/image116.wmf"/><Relationship Id="rId140" Type="http://schemas.openxmlformats.org/officeDocument/2006/relationships/image" Target="media/image117.wmf"/><Relationship Id="rId141" Type="http://schemas.openxmlformats.org/officeDocument/2006/relationships/image" Target="media/image118.wmf"/><Relationship Id="rId142" Type="http://schemas.openxmlformats.org/officeDocument/2006/relationships/image" Target="media/image119.wmf"/><Relationship Id="rId143" Type="http://schemas.openxmlformats.org/officeDocument/2006/relationships/image" Target="media/image120.wmf"/><Relationship Id="rId144" Type="http://schemas.openxmlformats.org/officeDocument/2006/relationships/image" Target="media/image121.wmf"/><Relationship Id="rId145" Type="http://schemas.openxmlformats.org/officeDocument/2006/relationships/image" Target="media/image122.wmf"/><Relationship Id="rId146" Type="http://schemas.openxmlformats.org/officeDocument/2006/relationships/image" Target="media/image123.wmf"/><Relationship Id="rId147" Type="http://schemas.openxmlformats.org/officeDocument/2006/relationships/image" Target="media/image124.wmf"/><Relationship Id="rId148" Type="http://schemas.openxmlformats.org/officeDocument/2006/relationships/image" Target="media/image125.wmf"/><Relationship Id="rId149" Type="http://schemas.openxmlformats.org/officeDocument/2006/relationships/hyperlink" Target="https://login.consultant.ru/link/?req=doc&amp;base=LAW&amp;n=370225&amp;date=24.01.2021&amp;demo=2&amp;dst=291&amp;fld=134" TargetMode="External"/><Relationship Id="rId150" Type="http://schemas.openxmlformats.org/officeDocument/2006/relationships/hyperlink" Target="https://login.consultant.ru/link/?req=doc&amp;base=LAW&amp;n=370225&amp;date=24.01.2021&amp;demo=2&amp;dst=311&amp;fld=134" TargetMode="External"/><Relationship Id="rId151" Type="http://schemas.openxmlformats.org/officeDocument/2006/relationships/image" Target="media/image126.wmf"/><Relationship Id="rId152" Type="http://schemas.openxmlformats.org/officeDocument/2006/relationships/image" Target="media/image127.wmf"/><Relationship Id="rId153" Type="http://schemas.openxmlformats.org/officeDocument/2006/relationships/image" Target="media/image128.wmf"/><Relationship Id="rId154" Type="http://schemas.openxmlformats.org/officeDocument/2006/relationships/image" Target="media/image129.wmf"/><Relationship Id="rId155" Type="http://schemas.openxmlformats.org/officeDocument/2006/relationships/image" Target="media/image130.wmf"/><Relationship Id="rId156" Type="http://schemas.openxmlformats.org/officeDocument/2006/relationships/hyperlink" Target="https://login.consultant.ru/link/?req=doc&amp;base=LAW&amp;n=370225&amp;date=24.01.2021&amp;demo=2&amp;dst=291&amp;fld=134" TargetMode="External"/><Relationship Id="rId157" Type="http://schemas.openxmlformats.org/officeDocument/2006/relationships/hyperlink" Target="https://login.consultant.ru/link/?req=doc&amp;base=LAW&amp;n=370225&amp;date=24.01.2021&amp;demo=2&amp;dst=311&amp;fld=134" TargetMode="External"/><Relationship Id="rId158" Type="http://schemas.openxmlformats.org/officeDocument/2006/relationships/hyperlink" Target="https://login.consultant.ru/link/?req=doc&amp;base=LAW&amp;n=356285&amp;date=24.01.2021&amp;demo=2&amp;dst=100003&amp;fld=134" TargetMode="External"/><Relationship Id="rId159" Type="http://schemas.openxmlformats.org/officeDocument/2006/relationships/hyperlink" Target="https://login.consultant.ru/link/?req=doc&amp;base=LAW&amp;n=326022&amp;date=24.01.2021&amp;demo=2&amp;dst=100003&amp;fld=134" TargetMode="External"/><Relationship Id="rId160" Type="http://schemas.openxmlformats.org/officeDocument/2006/relationships/image" Target="media/image131.wmf"/><Relationship Id="rId161" Type="http://schemas.openxmlformats.org/officeDocument/2006/relationships/image" Target="media/image132.wmf"/><Relationship Id="rId162" Type="http://schemas.openxmlformats.org/officeDocument/2006/relationships/image" Target="media/image133.wmf"/><Relationship Id="rId163" Type="http://schemas.openxmlformats.org/officeDocument/2006/relationships/image" Target="media/image134.wmf"/><Relationship Id="rId164" Type="http://schemas.openxmlformats.org/officeDocument/2006/relationships/hyperlink" Target="https://login.consultant.ru/link/?req=doc&amp;base=LAW&amp;n=370225&amp;date=24.01.2021&amp;demo=2&amp;dst=291&amp;fld=134" TargetMode="External"/><Relationship Id="rId165" Type="http://schemas.openxmlformats.org/officeDocument/2006/relationships/hyperlink" Target="https://login.consultant.ru/link/?req=doc&amp;base=LAW&amp;n=370225&amp;date=24.01.2021&amp;demo=2&amp;dst=311&amp;fld=134" TargetMode="External"/><Relationship Id="rId166" Type="http://schemas.openxmlformats.org/officeDocument/2006/relationships/hyperlink" Target="https://login.consultant.ru/link/?req=doc&amp;base=LAW&amp;n=370225&amp;date=24.01.2021&amp;demo=2&amp;dst=291&amp;fld=134" TargetMode="External"/><Relationship Id="rId167" Type="http://schemas.openxmlformats.org/officeDocument/2006/relationships/hyperlink" Target="https://login.consultant.ru/link/?req=doc&amp;base=LAW&amp;n=370225&amp;date=24.01.2021&amp;demo=2&amp;dst=311&amp;fld=134" TargetMode="External"/><Relationship Id="rId168" Type="http://schemas.openxmlformats.org/officeDocument/2006/relationships/hyperlink" Target="https://login.consultant.ru/link/?req=doc&amp;base=LAW&amp;n=356285&amp;date=24.01.2021&amp;demo=2&amp;dst=100003&amp;fld=134" TargetMode="External"/><Relationship Id="rId169" Type="http://schemas.openxmlformats.org/officeDocument/2006/relationships/hyperlink" Target="https://login.consultant.ru/link/?req=doc&amp;base=LAW&amp;n=326022&amp;date=24.01.2021&amp;demo=2&amp;dst=100003&amp;fld=134" TargetMode="External"/><Relationship Id="rId170" Type="http://schemas.openxmlformats.org/officeDocument/2006/relationships/image" Target="media/image135.wmf"/><Relationship Id="rId171" Type="http://schemas.openxmlformats.org/officeDocument/2006/relationships/image" Target="media/image136.wmf"/><Relationship Id="rId172" Type="http://schemas.openxmlformats.org/officeDocument/2006/relationships/image" Target="media/image137.wmf"/><Relationship Id="rId173" Type="http://schemas.openxmlformats.org/officeDocument/2006/relationships/image" Target="media/image138.wmf"/><Relationship Id="rId174" Type="http://schemas.openxmlformats.org/officeDocument/2006/relationships/image" Target="media/image139.wmf"/><Relationship Id="rId175" Type="http://schemas.openxmlformats.org/officeDocument/2006/relationships/image" Target="media/image140.wmf"/><Relationship Id="rId176" Type="http://schemas.openxmlformats.org/officeDocument/2006/relationships/image" Target="media/image141.wmf"/><Relationship Id="rId177" Type="http://schemas.openxmlformats.org/officeDocument/2006/relationships/image" Target="media/image142.wmf"/><Relationship Id="rId178" Type="http://schemas.openxmlformats.org/officeDocument/2006/relationships/image" Target="media/image143.wmf"/><Relationship Id="rId179" Type="http://schemas.openxmlformats.org/officeDocument/2006/relationships/image" Target="media/image144.wmf"/><Relationship Id="rId180" Type="http://schemas.openxmlformats.org/officeDocument/2006/relationships/image" Target="media/image145.wmf"/><Relationship Id="rId181" Type="http://schemas.openxmlformats.org/officeDocument/2006/relationships/image" Target="media/image146.wmf"/><Relationship Id="rId182" Type="http://schemas.openxmlformats.org/officeDocument/2006/relationships/image" Target="media/image147.wmf"/><Relationship Id="rId183" Type="http://schemas.openxmlformats.org/officeDocument/2006/relationships/image" Target="media/image148.wmf"/><Relationship Id="rId184" Type="http://schemas.openxmlformats.org/officeDocument/2006/relationships/image" Target="media/image149.wmf"/><Relationship Id="rId185" Type="http://schemas.openxmlformats.org/officeDocument/2006/relationships/hyperlink" Target="https://login.consultant.ru/link/?req=doc&amp;base=LAW&amp;n=370225&amp;date=24.01.2021&amp;demo=2&amp;dst=291&amp;fld=134" TargetMode="External"/><Relationship Id="rId186" Type="http://schemas.openxmlformats.org/officeDocument/2006/relationships/hyperlink" Target="https://login.consultant.ru/link/?req=doc&amp;base=LAW&amp;n=370225&amp;date=24.01.2021&amp;demo=2&amp;dst=311&amp;fld=134" TargetMode="External"/><Relationship Id="rId187" Type="http://schemas.openxmlformats.org/officeDocument/2006/relationships/hyperlink" Target="https://login.consultant.ru/link/?req=doc&amp;base=LAW&amp;n=370225&amp;date=24.01.2021&amp;demo=2&amp;dst=291&amp;fld=134" TargetMode="External"/><Relationship Id="rId188" Type="http://schemas.openxmlformats.org/officeDocument/2006/relationships/hyperlink" Target="https://login.consultant.ru/link/?req=doc&amp;base=LAW&amp;n=370225&amp;date=24.01.2021&amp;demo=2&amp;dst=311&amp;fld=134" TargetMode="External"/><Relationship Id="rId189" Type="http://schemas.openxmlformats.org/officeDocument/2006/relationships/image" Target="media/image150.wmf"/><Relationship Id="rId190" Type="http://schemas.openxmlformats.org/officeDocument/2006/relationships/image" Target="media/image151.wmf"/><Relationship Id="rId191" Type="http://schemas.openxmlformats.org/officeDocument/2006/relationships/image" Target="media/image152.wmf"/><Relationship Id="rId192" Type="http://schemas.openxmlformats.org/officeDocument/2006/relationships/image" Target="media/image153.wmf"/><Relationship Id="rId193" Type="http://schemas.openxmlformats.org/officeDocument/2006/relationships/image" Target="media/image154.wmf"/><Relationship Id="rId194" Type="http://schemas.openxmlformats.org/officeDocument/2006/relationships/image" Target="media/image155.wmf"/><Relationship Id="rId195" Type="http://schemas.openxmlformats.org/officeDocument/2006/relationships/image" Target="media/image156.wmf"/><Relationship Id="rId196" Type="http://schemas.openxmlformats.org/officeDocument/2006/relationships/image" Target="media/image157.wmf"/><Relationship Id="rId197" Type="http://schemas.openxmlformats.org/officeDocument/2006/relationships/image" Target="media/image158.wmf"/><Relationship Id="rId198" Type="http://schemas.openxmlformats.org/officeDocument/2006/relationships/image" Target="media/image159.wmf"/><Relationship Id="rId199" Type="http://schemas.openxmlformats.org/officeDocument/2006/relationships/image" Target="media/image160.wmf"/><Relationship Id="rId200" Type="http://schemas.openxmlformats.org/officeDocument/2006/relationships/image" Target="media/image161.wmf"/><Relationship Id="rId201" Type="http://schemas.openxmlformats.org/officeDocument/2006/relationships/image" Target="media/image162.wmf"/><Relationship Id="rId202" Type="http://schemas.openxmlformats.org/officeDocument/2006/relationships/image" Target="media/image163.wmf"/><Relationship Id="rId203" Type="http://schemas.openxmlformats.org/officeDocument/2006/relationships/image" Target="media/image164.wmf"/><Relationship Id="rId204" Type="http://schemas.openxmlformats.org/officeDocument/2006/relationships/image" Target="media/image165.wmf"/><Relationship Id="rId205" Type="http://schemas.openxmlformats.org/officeDocument/2006/relationships/hyperlink" Target="https://login.consultant.ru/link/?req=doc&amp;base=LAW&amp;n=370225&amp;date=24.01.2021&amp;demo=2&amp;dst=291&amp;fld=134" TargetMode="External"/><Relationship Id="rId206" Type="http://schemas.openxmlformats.org/officeDocument/2006/relationships/hyperlink" Target="https://login.consultant.ru/link/?req=doc&amp;base=LAW&amp;n=370225&amp;date=24.01.2021&amp;demo=2&amp;dst=311&amp;fld=134" TargetMode="External"/><Relationship Id="rId207" Type="http://schemas.openxmlformats.org/officeDocument/2006/relationships/image" Target="media/image166.wmf"/><Relationship Id="rId208" Type="http://schemas.openxmlformats.org/officeDocument/2006/relationships/image" Target="media/image167.wmf"/><Relationship Id="rId209" Type="http://schemas.openxmlformats.org/officeDocument/2006/relationships/image" Target="media/image168.wmf"/><Relationship Id="rId210" Type="http://schemas.openxmlformats.org/officeDocument/2006/relationships/image" Target="media/image169.wmf"/><Relationship Id="rId211" Type="http://schemas.openxmlformats.org/officeDocument/2006/relationships/image" Target="media/image170.wmf"/><Relationship Id="rId212" Type="http://schemas.openxmlformats.org/officeDocument/2006/relationships/image" Target="media/image171.wmf"/><Relationship Id="rId213" Type="http://schemas.openxmlformats.org/officeDocument/2006/relationships/image" Target="media/image172.wmf"/><Relationship Id="rId214" Type="http://schemas.openxmlformats.org/officeDocument/2006/relationships/image" Target="media/image173.wmf"/><Relationship Id="rId215" Type="http://schemas.openxmlformats.org/officeDocument/2006/relationships/image" Target="media/image174.wmf"/><Relationship Id="rId216" Type="http://schemas.openxmlformats.org/officeDocument/2006/relationships/image" Target="media/image175.wmf"/><Relationship Id="rId217" Type="http://schemas.openxmlformats.org/officeDocument/2006/relationships/image" Target="media/image176.wmf"/><Relationship Id="rId218" Type="http://schemas.openxmlformats.org/officeDocument/2006/relationships/hyperlink" Target="https://login.consultant.ru/link/?req=doc&amp;base=LAW&amp;n=370225&amp;date=24.01.2021&amp;demo=2&amp;dst=291&amp;fld=134" TargetMode="External"/><Relationship Id="rId219" Type="http://schemas.openxmlformats.org/officeDocument/2006/relationships/hyperlink" Target="https://login.consultant.ru/link/?req=doc&amp;base=LAW&amp;n=370225&amp;date=24.01.2021&amp;demo=2&amp;dst=311&amp;fld=134" TargetMode="External"/><Relationship Id="rId220" Type="http://schemas.openxmlformats.org/officeDocument/2006/relationships/image" Target="media/image177.wmf"/><Relationship Id="rId221" Type="http://schemas.openxmlformats.org/officeDocument/2006/relationships/hyperlink" Target="https://login.consultant.ru/link/?req=doc&amp;base=LAW&amp;n=370225&amp;date=24.01.2021&amp;demo=2&amp;dst=291&amp;fld=134" TargetMode="External"/><Relationship Id="rId222" Type="http://schemas.openxmlformats.org/officeDocument/2006/relationships/hyperlink" Target="https://login.consultant.ru/link/?req=doc&amp;base=LAW&amp;n=370225&amp;date=24.01.2021&amp;demo=2&amp;dst=311&amp;fld=134" TargetMode="External"/><Relationship Id="rId223" Type="http://schemas.openxmlformats.org/officeDocument/2006/relationships/hyperlink" Target="https://login.consultant.ru/link/?req=doc&amp;base=LAW&amp;n=356285&amp;date=24.01.2021&amp;demo=2&amp;dst=100003&amp;fld=134" TargetMode="External"/><Relationship Id="rId224" Type="http://schemas.openxmlformats.org/officeDocument/2006/relationships/hyperlink" Target="https://login.consultant.ru/link/?req=doc&amp;base=LAW&amp;n=326022&amp;date=24.01.2021&amp;demo=2&amp;dst=100003&amp;fld=134" TargetMode="External"/><Relationship Id="rId225" Type="http://schemas.openxmlformats.org/officeDocument/2006/relationships/image" Target="media/image178.wmf"/><Relationship Id="rId226" Type="http://schemas.openxmlformats.org/officeDocument/2006/relationships/image" Target="media/image179.wmf"/><Relationship Id="rId227" Type="http://schemas.openxmlformats.org/officeDocument/2006/relationships/image" Target="media/image180.wmf"/><Relationship Id="rId228" Type="http://schemas.openxmlformats.org/officeDocument/2006/relationships/hyperlink" Target="https://login.consultant.ru/link/?req=doc&amp;base=LAW&amp;n=370225&amp;date=24.01.2021&amp;demo=2&amp;dst=291&amp;fld=134" TargetMode="External"/><Relationship Id="rId229" Type="http://schemas.openxmlformats.org/officeDocument/2006/relationships/hyperlink" Target="https://login.consultant.ru/link/?req=doc&amp;base=LAW&amp;n=370225&amp;date=24.01.2021&amp;demo=2&amp;dst=311&amp;fld=134" TargetMode="External"/><Relationship Id="rId230" Type="http://schemas.openxmlformats.org/officeDocument/2006/relationships/hyperlink" Target="https://login.consultant.ru/link/?req=doc&amp;base=LAW&amp;n=370225&amp;date=24.01.2021&amp;demo=2&amp;dst=291&amp;fld=134" TargetMode="External"/><Relationship Id="rId231" Type="http://schemas.openxmlformats.org/officeDocument/2006/relationships/hyperlink" Target="https://login.consultant.ru/link/?req=doc&amp;base=LAW&amp;n=370225&amp;date=24.01.2021&amp;demo=2&amp;dst=311&amp;fld=134" TargetMode="External"/><Relationship Id="rId232" Type="http://schemas.openxmlformats.org/officeDocument/2006/relationships/hyperlink" Target="https://login.consultant.ru/link/?req=doc&amp;base=LAW&amp;n=356285&amp;date=24.01.2021&amp;demo=2&amp;dst=100003&amp;fld=134" TargetMode="External"/><Relationship Id="rId233" Type="http://schemas.openxmlformats.org/officeDocument/2006/relationships/hyperlink" Target="https://login.consultant.ru/link/?req=doc&amp;base=LAW&amp;n=326022&amp;date=24.01.2021&amp;demo=2&amp;dst=100003&amp;fld=134" TargetMode="External"/><Relationship Id="rId234" Type="http://schemas.openxmlformats.org/officeDocument/2006/relationships/image" Target="media/image181.wmf"/><Relationship Id="rId235" Type="http://schemas.openxmlformats.org/officeDocument/2006/relationships/image" Target="media/image182.wmf"/><Relationship Id="rId236" Type="http://schemas.openxmlformats.org/officeDocument/2006/relationships/image" Target="media/image183.wmf"/><Relationship Id="rId237" Type="http://schemas.openxmlformats.org/officeDocument/2006/relationships/image" Target="media/image184.wmf"/><Relationship Id="rId238" Type="http://schemas.openxmlformats.org/officeDocument/2006/relationships/image" Target="media/image185.wmf"/><Relationship Id="rId239" Type="http://schemas.openxmlformats.org/officeDocument/2006/relationships/image" Target="media/image186.wmf"/><Relationship Id="rId240" Type="http://schemas.openxmlformats.org/officeDocument/2006/relationships/image" Target="media/image187.wmf"/><Relationship Id="rId241" Type="http://schemas.openxmlformats.org/officeDocument/2006/relationships/image" Target="media/image188.wmf"/><Relationship Id="rId242" Type="http://schemas.openxmlformats.org/officeDocument/2006/relationships/image" Target="media/image189.wmf"/><Relationship Id="rId243" Type="http://schemas.openxmlformats.org/officeDocument/2006/relationships/image" Target="media/image190.wmf"/><Relationship Id="rId244" Type="http://schemas.openxmlformats.org/officeDocument/2006/relationships/image" Target="media/image191.wmf"/><Relationship Id="rId245" Type="http://schemas.openxmlformats.org/officeDocument/2006/relationships/image" Target="media/image192.wmf"/><Relationship Id="rId246" Type="http://schemas.openxmlformats.org/officeDocument/2006/relationships/image" Target="media/image193.wmf"/><Relationship Id="rId247" Type="http://schemas.openxmlformats.org/officeDocument/2006/relationships/image" Target="media/image194.wmf"/><Relationship Id="rId248" Type="http://schemas.openxmlformats.org/officeDocument/2006/relationships/image" Target="media/image195.wmf"/><Relationship Id="rId249" Type="http://schemas.openxmlformats.org/officeDocument/2006/relationships/image" Target="media/image196.wmf"/><Relationship Id="rId250" Type="http://schemas.openxmlformats.org/officeDocument/2006/relationships/hyperlink" Target="https://login.consultant.ru/link/?req=doc&amp;base=LAW&amp;n=370225&amp;date=24.01.2021&amp;demo=2&amp;dst=291&amp;fld=134" TargetMode="External"/><Relationship Id="rId251" Type="http://schemas.openxmlformats.org/officeDocument/2006/relationships/hyperlink" Target="https://login.consultant.ru/link/?req=doc&amp;base=LAW&amp;n=370225&amp;date=24.01.2021&amp;demo=2&amp;dst=311&amp;fld=134" TargetMode="External"/><Relationship Id="rId252" Type="http://schemas.openxmlformats.org/officeDocument/2006/relationships/hyperlink" Target="https://login.consultant.ru/link/?req=doc&amp;base=LAW&amp;n=370225&amp;date=24.01.2021&amp;demo=2&amp;dst=291&amp;fld=134" TargetMode="External"/><Relationship Id="rId253" Type="http://schemas.openxmlformats.org/officeDocument/2006/relationships/hyperlink" Target="https://login.consultant.ru/link/?req=doc&amp;base=LAW&amp;n=370225&amp;date=24.01.2021&amp;demo=2&amp;dst=311&amp;fld=134" TargetMode="External"/><Relationship Id="rId254" Type="http://schemas.openxmlformats.org/officeDocument/2006/relationships/image" Target="media/image197.wmf"/><Relationship Id="rId255" Type="http://schemas.openxmlformats.org/officeDocument/2006/relationships/image" Target="media/image198.wmf"/><Relationship Id="rId256" Type="http://schemas.openxmlformats.org/officeDocument/2006/relationships/image" Target="media/image199.wmf"/><Relationship Id="rId257" Type="http://schemas.openxmlformats.org/officeDocument/2006/relationships/image" Target="media/image200.wmf"/><Relationship Id="rId258" Type="http://schemas.openxmlformats.org/officeDocument/2006/relationships/image" Target="media/image201.wmf"/><Relationship Id="rId259" Type="http://schemas.openxmlformats.org/officeDocument/2006/relationships/image" Target="media/image202.wmf"/><Relationship Id="rId260" Type="http://schemas.openxmlformats.org/officeDocument/2006/relationships/image" Target="media/image203.wmf"/><Relationship Id="rId261" Type="http://schemas.openxmlformats.org/officeDocument/2006/relationships/image" Target="media/image204.wmf"/><Relationship Id="rId262" Type="http://schemas.openxmlformats.org/officeDocument/2006/relationships/image" Target="media/image205.wmf"/><Relationship Id="rId263" Type="http://schemas.openxmlformats.org/officeDocument/2006/relationships/image" Target="media/image206.wmf"/><Relationship Id="rId264" Type="http://schemas.openxmlformats.org/officeDocument/2006/relationships/image" Target="media/image207.wmf"/><Relationship Id="rId265" Type="http://schemas.openxmlformats.org/officeDocument/2006/relationships/image" Target="media/image208.wmf"/><Relationship Id="rId266" Type="http://schemas.openxmlformats.org/officeDocument/2006/relationships/image" Target="media/image209.wmf"/><Relationship Id="rId267" Type="http://schemas.openxmlformats.org/officeDocument/2006/relationships/image" Target="media/image210.wmf"/><Relationship Id="rId268" Type="http://schemas.openxmlformats.org/officeDocument/2006/relationships/image" Target="media/image211.wmf"/><Relationship Id="rId269" Type="http://schemas.openxmlformats.org/officeDocument/2006/relationships/image" Target="media/image212.wmf"/><Relationship Id="rId270" Type="http://schemas.openxmlformats.org/officeDocument/2006/relationships/image" Target="media/image213.wmf"/><Relationship Id="rId271" Type="http://schemas.openxmlformats.org/officeDocument/2006/relationships/image" Target="media/image214.wmf"/><Relationship Id="rId272" Type="http://schemas.openxmlformats.org/officeDocument/2006/relationships/image" Target="media/image215.wmf"/><Relationship Id="rId273" Type="http://schemas.openxmlformats.org/officeDocument/2006/relationships/hyperlink" Target="https://login.consultant.ru/link/?req=doc&amp;base=LAW&amp;n=370225&amp;date=24.01.2021&amp;demo=2&amp;dst=291&amp;fld=134" TargetMode="External"/><Relationship Id="rId274" Type="http://schemas.openxmlformats.org/officeDocument/2006/relationships/hyperlink" Target="https://login.consultant.ru/link/?req=doc&amp;base=LAW&amp;n=370225&amp;date=24.01.2021&amp;demo=2&amp;dst=311&amp;fld=134" TargetMode="External"/><Relationship Id="rId275" Type="http://schemas.openxmlformats.org/officeDocument/2006/relationships/header" Target="header2.xml"/><Relationship Id="rId276" Type="http://schemas.openxmlformats.org/officeDocument/2006/relationships/header" Target="header3.xml"/><Relationship Id="rId277" Type="http://schemas.openxmlformats.org/officeDocument/2006/relationships/footnotes" Target="footnotes.xml"/><Relationship Id="rId278" Type="http://schemas.openxmlformats.org/officeDocument/2006/relationships/fontTable" Target="fontTable.xml"/><Relationship Id="rId279" Type="http://schemas.openxmlformats.org/officeDocument/2006/relationships/settings" Target="settings.xml"/><Relationship Id="rId280" Type="http://schemas.openxmlformats.org/officeDocument/2006/relationships/theme" Target="theme/theme1.xml"/><Relationship Id="rId28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47ABB-26B0-43E2-BE44-5013C2E6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Application>LibreOffice/7.1.1.2$Linux_X86_64 LibreOffice_project/fe0b08f4af1bacafe4c7ecc87ce55bb426164676</Application>
  <AppVersion>15.0000</AppVersion>
  <Pages>60</Pages>
  <Words>16641</Words>
  <Characters>113274</Characters>
  <CharactersWithSpaces>129342</CharactersWithSpaces>
  <Paragraphs>847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2021-05-26T14:21:00Z</dcterms:created>
  <dc:creator/>
  <dc:description/>
  <dc:language>ru-RU</dc:language>
  <cp:lastModifiedBy/>
  <dcterms:modified xsi:type="dcterms:W3CDTF">2021-05-27T14:00:48Z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