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Отчет </w:t>
      </w:r>
      <w:r w:rsidDel="00000000" w:rsidR="00000000" w:rsidRPr="00000000">
        <w:rPr>
          <w:b w:val="1"/>
          <w:sz w:val="16"/>
          <w:szCs w:val="16"/>
          <w:rtl w:val="0"/>
        </w:rPr>
        <w:t xml:space="preserve">&lt;1&gt;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о невозможности (нецелесообразности) использования иных способов определения поставщика (подрядчика, исполнителя), обоснование цены контракта и иных существенных условий контракта при осуществлении закупки у единственного поставщика (подрядчика, исполнителя) для обеспечения государственных (муниципальных) нужд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-3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2820"/>
        <w:gridCol w:w="3210"/>
        <w:gridCol w:w="2085"/>
        <w:tblGridChange w:id="0">
          <w:tblGrid>
            <w:gridCol w:w="1440"/>
            <w:gridCol w:w="2820"/>
            <w:gridCol w:w="3210"/>
            <w:gridCol w:w="2085"/>
          </w:tblGrid>
        </w:tblGridChange>
      </w:tblGrid>
      <w:tr>
        <w:tc>
          <w:tcPr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0"/>
                <w:sz w:val="16"/>
                <w:szCs w:val="16"/>
                <w:rtl w:val="0"/>
              </w:rPr>
              <w:t xml:space="preserve">Реквизиты контракта, предмет</w:t>
            </w:r>
          </w:p>
        </w:tc>
        <w:tc>
          <w:tcPr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0"/>
                <w:sz w:val="16"/>
                <w:szCs w:val="16"/>
                <w:rtl w:val="0"/>
              </w:rPr>
              <w:t xml:space="preserve">Основание осуществления закупки у единственного поставщика, обоснование невозможности или нецелесообразности использования иных способов определения поставщика (подрядчика, исполнителя)</w:t>
            </w:r>
          </w:p>
        </w:tc>
        <w:tc>
          <w:tcPr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0"/>
                <w:sz w:val="16"/>
                <w:szCs w:val="16"/>
                <w:rtl w:val="0"/>
              </w:rPr>
              <w:t xml:space="preserve">Обоснование цены контракта</w:t>
            </w:r>
          </w:p>
        </w:tc>
        <w:tc>
          <w:tcPr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Обоснование иных существенных условий контракта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Государственный контракт от 07.06.2017 N 135 по аренде нежилого помещения для нужд субъекта Российской Федерации</w:t>
            </w:r>
          </w:p>
        </w:tc>
        <w:tc>
          <w:tcPr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Пункт 32 часть 1 статья 93 Федерального закона от 05.04.2013 N 44-ФЗ "О контрактной системе в сфере закупок товаров, работ, услуг для обеспечения государственных и муниципальных нужд". В соответствии с положениями ст. ст. 6, 12 Федерального закона от 05.04.2013 N 44-ФЗ "О контрактной системе в сфере закупок товаров, работ, услуг для обеспечения государственных и муниципальных нужд", ст. ст. 128, 130, 650 Гражданского кодекса Российской Федерации, в связи с тем, что объектом закупки является индивидуально определенная вещь, проведение конкурентной закупки невозможно, поскольку определено лицо, являющееся правообладателем объекта: нежилое помещение, расположенное по адресу г. Ярославль, ул. Собинова, дом 27/4, - и имеющее право распоряжения указанным имуществом, в частности на заключение договора аренды по предоставлению в пользование данного объекта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Начальная (максимальная) цена контракта, заключаемого с единственным поставщиком (подрядчиком, исполнителем), определена посредством применения затратного метода в соответствии с п. 5 ч. 1 ст. 22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Иные существенные условия контракта определены в соответствии с Гражданским кодексом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--------------------------------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Информация для сведения: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&lt;1&gt; Согласно ч. 3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ч. 3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 не распространяются на случаи осуществления закупки у единственного поставщика (подрядчика, исполнителя), предусмотренные п.п. 1, 2, 4, 5, 7, 8, 15, 16, 19 - 21, 24 - 26, 28, 29, 33, 36, 42, 44, 45, 47 - 48 ч. 1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Rule="auto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contextualSpacing w:val="1"/>
      <w:jc w:val="center"/>
    </w:pPr>
    <w:rPr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