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0F6C" w14:textId="2B3720CB" w:rsidR="00E74A75" w:rsidRPr="00E74A75" w:rsidRDefault="00E74A75" w:rsidP="00E74A75">
      <w:pPr>
        <w:pStyle w:val="3"/>
        <w:widowControl w:val="0"/>
        <w:ind w:left="180" w:right="104" w:firstLine="567"/>
        <w:jc w:val="both"/>
        <w:rPr>
          <w:b/>
          <w:sz w:val="28"/>
        </w:rPr>
      </w:pPr>
      <w:r w:rsidRPr="00E74A75">
        <w:rPr>
          <w:b/>
          <w:sz w:val="28"/>
        </w:rPr>
        <w:t>Срок, место и порядок подачи заявок участников закупки, требования к содержанию, составу заявки на участие в электронном аукционе и инструкция по ее заполнению:</w:t>
      </w:r>
    </w:p>
    <w:p w14:paraId="7CF1E475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</w:p>
    <w:p w14:paraId="07AA4C6C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Подача заявок на участие в электронном аукционе осуществляется только лицами, зарегистрированными в единой информационной системе* и аккредитованными на электронной площадке.</w:t>
      </w:r>
    </w:p>
    <w:p w14:paraId="2B4288D4" w14:textId="66D65F1A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ПРИМЕЧАНИЕ: *В соответствии с переходными положениями указанных ниже пунктов статьи 112 Закона:</w:t>
      </w:r>
    </w:p>
    <w:p w14:paraId="3287EC55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п.46. Ведение единого реестра участников закупок (п. 6.1 ч. 3 ст. 4 Закона) осуществляется, начиная с 1 января 2019 года.</w:t>
      </w:r>
    </w:p>
    <w:p w14:paraId="23823F04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п.47.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системе.</w:t>
      </w:r>
    </w:p>
    <w:p w14:paraId="56B83087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п.48.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24.2 Закона.</w:t>
      </w:r>
    </w:p>
    <w:p w14:paraId="732A8E18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 xml:space="preserve">п.50. По 31 декабря 2019 года включительно подача заявок на участие в электронных процедурах и участие в таких процедурах осуществляются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статьей 62 Закона. При этом регистрация в единой информационной системе не требуется. </w:t>
      </w:r>
    </w:p>
    <w:p w14:paraId="429A33DE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 xml:space="preserve">Обмен информацией, связанной с аккредитацией на электронных площадках и проведением электронного аукциона, между участником такого аукциона, заказчиком, оператором электронной площадки осуществляется на электронной площадке в форме электронных документов. В случаях, предусмотренных законодательством российской Федерации и иными нормативными правовыми актами о контрактной </w:t>
      </w:r>
      <w:proofErr w:type="gramStart"/>
      <w:r w:rsidRPr="004D444F">
        <w:rPr>
          <w:sz w:val="22"/>
        </w:rPr>
        <w:t>системе  в</w:t>
      </w:r>
      <w:proofErr w:type="gramEnd"/>
      <w:r w:rsidRPr="004D444F">
        <w:rPr>
          <w:sz w:val="22"/>
        </w:rPr>
        <w:t xml:space="preserve"> сфере закупок, обмен электронными документами осуществляется с использованием единой информационной системы.</w:t>
      </w:r>
    </w:p>
    <w:p w14:paraId="30C49CF2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Электронные документы участника электронного аукциона, заказчика, оператора электронной площадки должны быть подписаны усиленной квалифицированной электронной подписью (далее – усиленная электронная подпись) лица, имеющего право действовать от имени соответственно участника такого аукциона, заказчика, оператора электронной площадки.</w:t>
      </w:r>
    </w:p>
    <w:p w14:paraId="01C5CCD4" w14:textId="5ADDB50B" w:rsidR="00E74A75" w:rsidRPr="004D444F" w:rsidRDefault="00E74A75" w:rsidP="00E74A75">
      <w:pPr>
        <w:pStyle w:val="3"/>
        <w:ind w:left="180" w:right="104" w:firstLine="567"/>
        <w:jc w:val="both"/>
        <w:rPr>
          <w:b/>
          <w:sz w:val="22"/>
        </w:rPr>
      </w:pPr>
      <w:r w:rsidRPr="004D444F">
        <w:rPr>
          <w:b/>
          <w:sz w:val="22"/>
        </w:rPr>
        <w:t>Заявка составляется на русском языке, текст всех документов, входящих в состав заявки, должен легко читаться, сведения, содержащиеся в заявке</w:t>
      </w:r>
      <w:r>
        <w:rPr>
          <w:b/>
          <w:sz w:val="22"/>
        </w:rPr>
        <w:t>,</w:t>
      </w:r>
      <w:r w:rsidRPr="004D444F">
        <w:rPr>
          <w:b/>
          <w:sz w:val="22"/>
        </w:rPr>
        <w:t xml:space="preserve"> не должны допускать двусмысленных толкований. Все документы и сведения, входящие в состав заявок на участие в электронном аукционе</w:t>
      </w:r>
      <w:r>
        <w:rPr>
          <w:b/>
          <w:sz w:val="22"/>
        </w:rPr>
        <w:t>,</w:t>
      </w:r>
      <w:r w:rsidRPr="004D444F">
        <w:rPr>
          <w:b/>
          <w:sz w:val="22"/>
        </w:rPr>
        <w:t xml:space="preserve"> должны соответствовать требованиям действующего законодательства Российской Федерации в том числе ГОСТу Р 7.0.8-2013 и требованиям документации. </w:t>
      </w:r>
    </w:p>
    <w:p w14:paraId="1C4F9D7C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</w:r>
    </w:p>
    <w:p w14:paraId="355967EE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b/>
          <w:sz w:val="22"/>
        </w:rPr>
        <w:t>Место подачи заявки:</w:t>
      </w:r>
      <w:r w:rsidRPr="004D444F">
        <w:rPr>
          <w:sz w:val="22"/>
        </w:rPr>
        <w:t xml:space="preserve"> Заявка на участие в электронном аукционе направляется участником такого аукциона </w:t>
      </w:r>
      <w:r w:rsidRPr="004D444F">
        <w:rPr>
          <w:sz w:val="22"/>
          <w:u w:val="single"/>
        </w:rPr>
        <w:t>оператору электронной площадки</w:t>
      </w:r>
      <w:r w:rsidRPr="004D444F">
        <w:rPr>
          <w:sz w:val="22"/>
        </w:rPr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14:paraId="41F4E3B0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b/>
          <w:sz w:val="22"/>
        </w:rPr>
        <w:t xml:space="preserve">Срок подачи заявок: </w:t>
      </w:r>
      <w:r w:rsidRPr="004D444F">
        <w:rPr>
          <w:sz w:val="22"/>
        </w:rPr>
        <w:t>согласно разделу информационной карты документации - «Дата и время окончания срока подачи заявок на участие в аукционе».</w:t>
      </w:r>
    </w:p>
    <w:p w14:paraId="6ACFA2B0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b/>
          <w:sz w:val="22"/>
        </w:rPr>
      </w:pPr>
      <w:r w:rsidRPr="004D444F">
        <w:rPr>
          <w:b/>
          <w:sz w:val="22"/>
        </w:rPr>
        <w:t>Заявка на участие в электронном аукционе состоит из двух частей:</w:t>
      </w:r>
    </w:p>
    <w:p w14:paraId="3AA12C47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b/>
          <w:sz w:val="22"/>
        </w:rPr>
      </w:pPr>
      <w:r w:rsidRPr="004D444F">
        <w:rPr>
          <w:b/>
          <w:sz w:val="22"/>
        </w:rPr>
        <w:t>Первая часть заявки на участие в электронном аукционе должна содержать:</w:t>
      </w:r>
    </w:p>
    <w:p w14:paraId="542C80D3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  <w:shd w:val="clear" w:color="auto" w:fill="00FFFF"/>
        </w:rPr>
      </w:pPr>
      <w:r w:rsidRPr="004D444F">
        <w:rPr>
          <w:rStyle w:val="30"/>
          <w:sz w:val="22"/>
        </w:rPr>
        <w:t xml:space="preserve">В </w:t>
      </w:r>
      <w:r w:rsidRPr="004D444F">
        <w:rPr>
          <w:sz w:val="22"/>
        </w:rPr>
        <w:t>соответствии с информационной картой (приложение № 1 к документации)</w:t>
      </w:r>
    </w:p>
    <w:p w14:paraId="4A57011C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 xml:space="preserve">При описании товара могут быть использованы только общепринятые обозначения и сокращения. </w:t>
      </w:r>
    </w:p>
    <w:p w14:paraId="06D25C94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lastRenderedPageBreak/>
        <w:t>Не допускается при заполнении сведений вместо указания конкретных характеристик (показателей) товара указывать: «не более», «не менее» и т.п., за исключением случаев, если это предусмотрено технической документацией на товар.</w:t>
      </w:r>
    </w:p>
    <w:p w14:paraId="4F363F3B" w14:textId="77777777" w:rsidR="00E74A75" w:rsidRPr="004D444F" w:rsidRDefault="00E74A75" w:rsidP="00E74A75">
      <w:pPr>
        <w:pStyle w:val="3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Заявка участника также не должна содержать не конкретные характеристики (показатели) товара, например, «должен быть» или «может быть», «вероятно», «возможно» и т.п.</w:t>
      </w:r>
    </w:p>
    <w:p w14:paraId="6F248D60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 xml:space="preserve">При этом участник указывает товарный знак (при наличии) предполагаемого к поставке товара, а в случае отсутствия товарного знака участнику рекомендуется сделать пометку «товарный знак отсутствует». </w:t>
      </w:r>
    </w:p>
    <w:p w14:paraId="68509EFF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b/>
          <w:sz w:val="22"/>
        </w:rPr>
      </w:pPr>
      <w:r w:rsidRPr="004D444F">
        <w:rPr>
          <w:b/>
          <w:sz w:val="22"/>
        </w:rPr>
        <w:t>Вторая часть заявки на участие в электронном аукционе должна содержать следующие документы и сведения:</w:t>
      </w:r>
    </w:p>
    <w:p w14:paraId="77F0980A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В соответствии с информационной картой (приложение № 1 к документации)</w:t>
      </w:r>
    </w:p>
    <w:p w14:paraId="6405BE0D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идентификационного номера.</w:t>
      </w:r>
    </w:p>
    <w:p w14:paraId="4B58F3D4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 xml:space="preserve">Участник электронного аукциона вправе подать только одну заявку на участие в аукционе. </w:t>
      </w:r>
    </w:p>
    <w:p w14:paraId="2E8EF691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случае:</w:t>
      </w:r>
    </w:p>
    <w:p w14:paraId="3D95D764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1) подачи данной заявки с нарушением требований, предусмотренных Законом;</w:t>
      </w:r>
    </w:p>
    <w:p w14:paraId="3874F271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2) подачи одним участником такого аукциона двух и более заявок на участие в нем при условии, что поданные ранее заявки этим участником не отозваны. В указанном случае этому участнику возвращаются все заявки на участие в таком аукционе;</w:t>
      </w:r>
    </w:p>
    <w:p w14:paraId="7985AE17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3) получения данной заявки после даты или времени окончания срока подачи заявок на участие в таком аукционе;</w:t>
      </w:r>
    </w:p>
    <w:p w14:paraId="1874AEC8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4) получения данной заявки от участника аукциона с нарушением положений Закона (Участник электронного аукциона, получивший аккредитацию на электронной площадке, не вправе подать заявку на участие в таком аукционе за три месяца до даты окончания срока своей аккредитации);</w:t>
      </w:r>
    </w:p>
    <w:p w14:paraId="4F61DD09" w14:textId="77777777" w:rsidR="00E74A75" w:rsidRPr="004D444F" w:rsidRDefault="00E74A75" w:rsidP="00E74A75">
      <w:pPr>
        <w:pStyle w:val="4"/>
        <w:tabs>
          <w:tab w:val="left" w:pos="180"/>
        </w:tabs>
        <w:ind w:left="180" w:right="104" w:firstLine="567"/>
        <w:jc w:val="both"/>
        <w:rPr>
          <w:sz w:val="22"/>
        </w:rPr>
      </w:pPr>
      <w:r w:rsidRPr="004D444F">
        <w:rPr>
          <w:sz w:val="22"/>
        </w:rPr>
        <w:t>5) наличия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при условии установления требования, предусмотренного частью 1.1 статьи 31 Закона.</w:t>
      </w:r>
    </w:p>
    <w:p w14:paraId="78698CD0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Одновременно с возвратом заявки на участие в электронном аукционе, в соответствии с требованиями Закона, оператор электронной площадки обязан уведомить в форме электронного документа участника такого аукциона, подавшего данную заявку, об основаниях ее возврата с указанием положений Закона, которые были нарушены. Возврат заявок на участие в таком аукционе оператором электронной площадки по иным основаниям не допускается.</w:t>
      </w:r>
    </w:p>
    <w:p w14:paraId="044C1302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Не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заказчику, уполномоченному органу первую часть заявки на участие в таком аукционе.</w:t>
      </w:r>
    </w:p>
    <w:p w14:paraId="7581E88C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</w:t>
      </w:r>
    </w:p>
    <w:p w14:paraId="13C3453D" w14:textId="77777777" w:rsidR="00E74A75" w:rsidRPr="004D444F" w:rsidRDefault="00E74A75" w:rsidP="00E74A75">
      <w:pPr>
        <w:pStyle w:val="3"/>
        <w:widowControl w:val="0"/>
        <w:ind w:left="180" w:right="104" w:firstLine="567"/>
        <w:jc w:val="both"/>
        <w:rPr>
          <w:sz w:val="22"/>
        </w:rPr>
      </w:pPr>
      <w:r w:rsidRPr="004D444F">
        <w:rPr>
          <w:sz w:val="22"/>
        </w:rPr>
        <w:t>Оператор электронной площадки обязан обеспечить конфиденциальность информации об участниках электронного аукциона, подавших заявки на участие в таком аукционе, и информации, содержащейся в первой и второй частях данной заявки, до размещения на электронной площадке протокола проведения такого аукциона. За нарушение указанного требования оператор электронной площадки несет ответственность в соответствии с законодательством Российской Федерации.</w:t>
      </w:r>
    </w:p>
    <w:p w14:paraId="6A0C35DA" w14:textId="4543EABC" w:rsidR="00EB507B" w:rsidRDefault="00E74A75" w:rsidP="00E74A75">
      <w:r w:rsidRPr="004D444F">
        <w:rPr>
          <w:sz w:val="22"/>
        </w:rPr>
        <w:t xml:space="preserve">В случае, если по окончании срока подачи заявок на </w:t>
      </w:r>
      <w:bookmarkStart w:id="0" w:name="_GoBack"/>
      <w:bookmarkEnd w:id="0"/>
      <w:r w:rsidRPr="004D444F">
        <w:rPr>
          <w:sz w:val="22"/>
        </w:rPr>
        <w:t>участие в электронном аукционе подана только одна заявка или не подано ни одной заявки, такой аукцион признается несостоявшимся.</w:t>
      </w:r>
    </w:p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1"/>
    <w:rsid w:val="00790F81"/>
    <w:rsid w:val="00E74A75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344"/>
  <w15:chartTrackingRefBased/>
  <w15:docId w15:val="{632D5DFF-029A-4211-BB80-A885816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aliases w:val="Знак Знак Знак16 Знак,Основной шрифт абзаца2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E7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E74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Выделение3"/>
    <w:rsid w:val="00E74A7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6559</Characters>
  <Application>Microsoft Office Word</Application>
  <DocSecurity>0</DocSecurity>
  <Lines>123</Lines>
  <Paragraphs>52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2</cp:revision>
  <dcterms:created xsi:type="dcterms:W3CDTF">2018-08-22T21:36:00Z</dcterms:created>
  <dcterms:modified xsi:type="dcterms:W3CDTF">2018-08-22T21:40:00Z</dcterms:modified>
</cp:coreProperties>
</file>