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Б Р А Щ Е Н И Е</w:t>
        <w:br w:type="textWrapping"/>
        <w:t xml:space="preserve">о согласовании заключения контракта с единственным поставщиком </w:t>
        <w:br w:type="textWrapping"/>
        <w:t xml:space="preserve">(подрядчиком, исполнителем)</w:t>
      </w:r>
    </w:p>
    <w:p w:rsidR="00000000" w:rsidDel="00000000" w:rsidP="00000000" w:rsidRDefault="00000000" w:rsidRPr="00000000" w14:paraId="00000002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  <w:tab/>
        <w:t xml:space="preserve">Информация о контрольном органе в сфере закупок, в который направляется обращение о согласовании заключения контракта с единственным поставщиком (подрядчиком, исполнителем):</w:t>
      </w:r>
    </w:p>
    <w:p w:rsidR="00000000" w:rsidDel="00000000" w:rsidP="00000000" w:rsidRDefault="00000000" w:rsidRPr="00000000" w14:paraId="00000004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5520"/>
        <w:tblGridChange w:id="0">
          <w:tblGrid>
            <w:gridCol w:w="4980"/>
            <w:gridCol w:w="5520"/>
          </w:tblGrid>
        </w:tblGridChange>
      </w:tblGrid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наименование: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  <w:tab/>
        <w:t xml:space="preserve">Информация о заказчике:</w:t>
      </w:r>
    </w:p>
    <w:p w:rsidR="00000000" w:rsidDel="00000000" w:rsidP="00000000" w:rsidRDefault="00000000" w:rsidRPr="00000000" w14:paraId="00000009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2860"/>
        <w:gridCol w:w="1360"/>
        <w:gridCol w:w="1280"/>
        <w:tblGridChange w:id="0">
          <w:tblGrid>
            <w:gridCol w:w="4980"/>
            <w:gridCol w:w="2860"/>
            <w:gridCol w:w="1360"/>
            <w:gridCol w:w="1280"/>
          </w:tblGrid>
        </w:tblGridChange>
      </w:tblGrid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Коды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нахождения, телефон, адрес электронной почты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ОКТМО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нахождения, телефон, адрес электронной почты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ОКТМО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  <w:tab/>
        <w:t xml:space="preserve">Информация о закупке:</w:t>
      </w:r>
    </w:p>
    <w:p w:rsidR="00000000" w:rsidDel="00000000" w:rsidP="00000000" w:rsidRDefault="00000000" w:rsidRPr="00000000" w14:paraId="00000028">
      <w:pPr>
        <w:widowControl w:val="1"/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5520"/>
        <w:tblGridChange w:id="0">
          <w:tblGrid>
            <w:gridCol w:w="4980"/>
            <w:gridCol w:w="5520"/>
          </w:tblGrid>
        </w:tblGridChange>
      </w:tblGrid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идентификационный код закупки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объекта закупки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начальная (максимальная) цена контракта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начальная сумма цен единиц товара, работы, услуги и максимальное значение цены контракта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ориентировочное значение цены контракта либо формула цены и максимальное значение цены контракта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контракта, предложенная участником закупки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2, 5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 цен единиц, товара, работы, услуги, предложенная участником закупки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3, 6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случая признания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предложений в электронной форме, закрытого конкурса, закрытого аукциона несостоявшимся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56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  <w:tab/>
        <w:t xml:space="preserve">Информация о единственном поставщике (подрядчике, исполнителе):</w:t>
      </w:r>
    </w:p>
    <w:p w:rsidR="00000000" w:rsidDel="00000000" w:rsidP="00000000" w:rsidRDefault="00000000" w:rsidRPr="00000000" w14:paraId="0000003B">
      <w:pPr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80"/>
        <w:gridCol w:w="2860"/>
        <w:gridCol w:w="1360"/>
        <w:gridCol w:w="1280"/>
        <w:tblGridChange w:id="0">
          <w:tblGrid>
            <w:gridCol w:w="4980"/>
            <w:gridCol w:w="2860"/>
            <w:gridCol w:w="1360"/>
            <w:gridCol w:w="1280"/>
          </w:tblGrid>
        </w:tblGridChange>
      </w:tblGrid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Коды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 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нахождения, телефон, адрес электронной почты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ОКТМО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56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  <w:tab/>
        <w:t xml:space="preserve">Информация и документы, прилагаемые к настоящему обращению о согласовании заключения контракта с единственным поставщиком (подрядчиком, исполнителем):</w:t>
      </w:r>
    </w:p>
    <w:p w:rsidR="00000000" w:rsidDel="00000000" w:rsidP="00000000" w:rsidRDefault="00000000" w:rsidRPr="00000000" w14:paraId="0000004E">
      <w:pPr>
        <w:tabs>
          <w:tab w:val="left" w:pos="567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00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"/>
        <w:gridCol w:w="10020"/>
        <w:tblGridChange w:id="0">
          <w:tblGrid>
            <w:gridCol w:w="480"/>
            <w:gridCol w:w="10020"/>
          </w:tblGrid>
        </w:tblGridChange>
      </w:tblGrid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информации и документов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федерального органа исполнительной власти, уполномоченного Правительством Российской Федерации на осуществление согласования закрытых способов определения поставщиков (подрядчиков, исполнителей) (или его копия);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приглашение принять участие в определении поставщика (подрядчика, исполнителя) </w:t>
              <w:br w:type="textWrapping"/>
              <w:t xml:space="preserve">(или его копия);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документация о закупке (или ее копия);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протоколы (или их копии), составленные при определении поставщика (подрядчика, исполнителя);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заявки (или их копии), поданные на участие в закупке, либо их части, направленные заказчику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– Федеральный закон);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информация и документы (или их копии), предусмотренные в извещении об осуществлении закупки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документации о закупке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приглашении принять участие в определении поставщика (подрядчика, исполнителя)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для представления в заявке на участие в закупке (за исключением документов, подтверждающих предоставление обеспечения заявки на участие в закупке);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13, 14</w:t>
            </w:r>
          </w:p>
        </w:tc>
      </w:tr>
      <w:tr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57.0" w:type="dxa"/>
              <w:left w:w="62.0" w:type="dxa"/>
              <w:bottom w:w="57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jc w:val="both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предложение о цене контракта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сумме цен единиц товара, работы услуги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pos="567"/>
        </w:tabs>
        <w:jc w:val="both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1418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Указывается в соответствии с подпунктом "д" пункта 4 Порядка согласования контрольным органом в сфере закупок заключения контракта с единственным поставщиком (подрядчиком, исполнителем), утвержденного постановлением Правительства Российской Федерации от __.___.2020 № ___ "Об установлении предельных размеров начальной (максимальной) цены контракта, при превышении которых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несостоявшимся осуществляется по согласованию с контрольным органом в сфере закупок, правил согласования таким органом заключения контракта с единственным поставщиком (подрядчиком, исполнителем) и о внесении изменений в правила ведения реестра жалоб, плановых и внеплановых проверок, принятых по ним решений и выданных предписаний".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Не указывается в случае, предусмотренном частью 24 статьи 22 Федерального закона.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Указывается в случае, предусмотренном частью 24 статьи 22 Федерального закона.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Указывается в случае, предусмотренном частью 2 статьи 34 Федерального закона.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Указывается, если в соответствии с Федеральным законом заявка участника закупки содержит предложение о цене контракта и (или) предусмотрена подача участником закупки такого предложения.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Указывается если в соответствии с Федеральным законом заявка участника закупки содержит предложение о сумме цен единиц, товара, работы, услуги и (или) предусмотрена подача участником закупки такого предложения.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 в случае проведения закрытого способа определения поставщика (подрядчика, исполнителя) и если Федеральным законом предусмотрено согласование применения закрытого способа определения поставщика (подрядчика, исполнителя).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 в случае проведения закрытого способа определения поставщика (подрядчика, исполнителя).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Прилагаются при наличии заявок на участие в закупке.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Прилагается, если Федеральным законом предусмотрено извещение об осуществлении закупки.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Прилагается, если Федеральным законом предусмотрена документация о закупке.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Прилагается, если Федеральным законом предусмотрено приглашение принять участие в определении поставщика (подрядчика, исполнителя)).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Прилагается в случаях, предусмотренных частью 27 статьи 83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статьей 92 Федерального закона (в случае признания закрытого способа определения поставщика (подрядчика, исполнителя) несостоявшимся в связи с тем, что по окончании срока подачи заявок на участие в закупке не подано ни одной такой заявки либо все заявки, поданные на участие в закупке, отклонены в соответствии с Федеральным законом).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left" w:pos="284"/>
          <w:tab w:val="left" w:pos="567"/>
        </w:tabs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Документы (или их копии), подтверждающие предоставление обеспечения заявки на участие в закупке, не прилагаются.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4" w:top="566.9291338582677" w:left="850.3937007874016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02" w:hanging="5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</w:rPr>
    </w:lvl>
    <w:lvl w:ilvl="1">
      <w:start w:val="1"/>
      <w:numFmt w:val="lowerLetter"/>
      <w:lvlText w:val="%2."/>
      <w:lvlJc w:val="left"/>
      <w:pPr>
        <w:ind w:left="1222" w:hanging="122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942" w:hanging="194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62" w:hanging="26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382" w:hanging="338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102" w:hanging="41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822" w:hanging="482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542" w:hanging="554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262" w:hanging="62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