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36830" distB="36830" distL="6400800" distR="6400800" simplePos="0" locked="0" layoutInCell="1" allowOverlap="1" relativeHeight="2">
                <wp:simplePos x="0" y="0"/>
                <wp:positionH relativeFrom="page">
                  <wp:posOffset>3595370</wp:posOffset>
                </wp:positionH>
                <wp:positionV relativeFrom="paragraph">
                  <wp:posOffset>461645</wp:posOffset>
                </wp:positionV>
                <wp:extent cx="825500" cy="668020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6680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8165" cy="668020"/>
                                  <wp:effectExtent l="0" t="0" r="0" b="0"/>
                                  <wp:docPr id="2" name="Рисунок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64" t="-53" r="-64" b="-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5pt;height:52.6pt;mso-wrap-distance-left:504pt;mso-wrap-distance-right:504pt;mso-wrap-distance-top:2.9pt;mso-wrap-distance-bottom:2.9pt;margin-top:36.35pt;mso-position-vertical-relative:text;margin-left:283.1pt;mso-position-horizontal-relative:page">
                <v:fill opacity="0f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sz w:val="28"/>
                          <w:szCs w:val="28"/>
                          <w:lang w:val="en-GB" w:eastAsia="en-GB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>
                            <wp:extent cx="558165" cy="668020"/>
                            <wp:effectExtent l="0" t="0" r="0" b="0"/>
                            <wp:docPr id="3" name="Рисунок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64" t="-53" r="-64" b="-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" cy="66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67"/>
        <w:jc w:val="center"/>
        <w:rPr>
          <w:b/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МИНИСТЕРСТВО ЭКОНОМИЧЕСКОГО РАЗВИТИЯ</w:t>
      </w:r>
    </w:p>
    <w:p>
      <w:pPr>
        <w:pStyle w:val="Normal"/>
        <w:ind w:hanging="67"/>
        <w:jc w:val="center"/>
        <w:rPr>
          <w:b/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РОССИЙСКОЙ ФЕДЕРАЦИИ</w:t>
      </w:r>
    </w:p>
    <w:p>
      <w:pPr>
        <w:pStyle w:val="Normal"/>
        <w:ind w:hanging="67"/>
        <w:jc w:val="center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(МИНЭКОНОМРАЗВИТИЯ РОССИИ)</w:t>
      </w:r>
    </w:p>
    <w:p>
      <w:pPr>
        <w:pStyle w:val="Normal"/>
        <w:spacing w:lineRule="auto" w:line="480"/>
        <w:ind w:hanging="67"/>
        <w:jc w:val="center"/>
        <w:rPr>
          <w:b/>
          <w:b/>
          <w:color w:val="003399"/>
          <w:sz w:val="34"/>
          <w:szCs w:val="34"/>
        </w:rPr>
      </w:pPr>
      <w:r>
        <w:rPr>
          <w:b/>
          <w:color w:val="003399"/>
          <w:sz w:val="34"/>
          <w:szCs w:val="34"/>
        </w:rPr>
        <w:t>П Р И К А З</w:t>
      </w:r>
    </w:p>
    <w:p>
      <w:pPr>
        <w:pStyle w:val="Normal"/>
        <w:spacing w:lineRule="auto" w:line="480"/>
        <w:ind w:left="-1139" w:right="-1025" w:hanging="0"/>
        <w:jc w:val="center"/>
        <w:rPr/>
      </w:pPr>
      <w:r>
        <w:rPr>
          <w:b/>
          <w:color w:val="003399"/>
          <w:sz w:val="32"/>
          <w:szCs w:val="32"/>
        </w:rPr>
        <w:t xml:space="preserve">____________________             </w:t>
      </w:r>
      <w:r>
        <w:rPr>
          <w:b/>
          <w:color w:val="003399"/>
          <w:sz w:val="28"/>
          <w:szCs w:val="28"/>
        </w:rPr>
        <w:t>Москва            №</w:t>
      </w:r>
      <w:r>
        <w:rPr>
          <w:b/>
          <w:color w:val="003399"/>
          <w:sz w:val="32"/>
          <w:szCs w:val="32"/>
        </w:rPr>
        <w:t>____________________</w:t>
      </w:r>
    </w:p>
    <w:p>
      <w:pPr>
        <w:pStyle w:val="Normal"/>
        <w:jc w:val="center"/>
        <w:rPr>
          <w:b/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требованиях энергетической </w:t>
        <w:br/>
        <w:t xml:space="preserve">эффективности в отношении товаров, указанных </w:t>
        <w:br/>
        <w:t xml:space="preserve">в приложении к Правилам установления требований </w:t>
        <w:br/>
        <w:t xml:space="preserve">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</w:t>
        <w:br/>
        <w:t>от 31 декабря 2009 г. № 1221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третьим пункта 2 постановления Правительства Российской Федерации от 21 апреля 2018 г. № 486 «О внесении изменений </w:t>
        <w:br/>
        <w:t xml:space="preserve">в постановление Правительства Российской Федерации от 31 декабря 2009 г. </w:t>
        <w:br/>
        <w:t>№ 1221»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(Собрание законодательства Российской Федерации, 2018, № 18, </w:t>
        <w:br/>
        <w:t xml:space="preserve">ст. 2636) </w:t>
      </w:r>
      <w:r>
        <w:rPr>
          <w:sz w:val="28"/>
          <w:szCs w:val="28"/>
        </w:rPr>
        <w:t>п р и к а з ы в а ю: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требования энергетической эффективности </w:t>
        <w:br/>
        <w:t xml:space="preserve">в отношении товаров, указанных в приложении к Правилам установления требований энергетической эффективности товаров, работ, услуг </w:t>
        <w:br/>
        <w:t xml:space="preserve">при осуществлении закупок для обеспечения государственных </w:t>
        <w:br/>
        <w:t>и муниципальных нужд, утвержденным постановлением Правительства Российской Федерации от 31 декабря 2009 г. № 1221.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по истечении 90 дней со дня </w:t>
        <w:br/>
        <w:t>его официального опубликования.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5"/>
        <w:gridCol w:w="4929"/>
      </w:tblGrid>
      <w:tr>
        <w:trPr/>
        <w:tc>
          <w:tcPr>
            <w:tcW w:w="492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Орешкин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709" w:top="765" w:footer="0" w:bottom="992" w:gutter="0"/>
          <w:pgNumType w:fmt="decimal"/>
          <w:formProt w:val="false"/>
          <w:titlePg/>
          <w:textDirection w:val="lrTb"/>
          <w:docGrid w:type="default" w:linePitch="381" w:charSpace="0"/>
        </w:sectPr>
      </w:pPr>
    </w:p>
    <w:p>
      <w:pPr>
        <w:pStyle w:val="Normal"/>
        <w:ind w:left="5812" w:hanging="28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ind w:left="5812" w:hanging="28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Минэкономразвития России</w:t>
      </w:r>
    </w:p>
    <w:p>
      <w:pPr>
        <w:pStyle w:val="Normal"/>
        <w:ind w:left="5812" w:hanging="283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 г. №______</w:t>
      </w:r>
    </w:p>
    <w:p>
      <w:pPr>
        <w:pStyle w:val="Normal"/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371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371"/>
        <w:jc w:val="center"/>
        <w:rPr>
          <w:b/>
          <w:b/>
        </w:rPr>
      </w:pPr>
      <w:r>
        <w:rPr>
          <w:b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Требования </w:t>
        <w:br/>
        <w:t xml:space="preserve">энергетической эффективности в отношении товаров, указанных </w:t>
        <w:br/>
        <w:t xml:space="preserve">в приложении к Правилам установления требований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31 декабря 2009 г. № 1221</w:t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I. Требования энергетической эффективности в отношении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электрических бытовых ламп (код по Общероссийскому классификатору продукции по видам экономической деятельности ОК 034-2014 </w:t>
        <w:br/>
        <w:t>(КПЕС 2008) 27.40.1)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отношении электрических бытовых ламп – наличие класса энергетической эффективности «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 xml:space="preserve">» и выше в соответствии с национальным стандартом Российской Федерации ГОСТ Р 54993-2012 «Лампы бытовые. Показатели энергетической эффективности», с учетом национальных стандартов Российской Федерации ГОСТ Р 54992-2012 «Лампы бытовые. Методы определения энергетической эффективности», ГОСТ Р 55702-2013 «Источники света электрические. Методы измерений электрических и световых параметров», ГОСТ Р 55703-2013 «Источники света электрические. Методы измерений спектральных и цветовых характеристик», ГОСТ Р МЭК 60357-2012 «Лампы вольфрамовые галогенные (не для транспортных средств). Эксплуатационные требования», ГОСТ Р 52706-2007 «Лампы накаливания вольфрамовые для бытового и аналогичного общего освещения. Эксплуатационные требования», ГОСТ </w:t>
      </w:r>
      <w:r>
        <w:rPr>
          <w:rFonts w:eastAsia="Calibri"/>
          <w:sz w:val="28"/>
          <w:szCs w:val="28"/>
          <w:lang w:val="en-US"/>
        </w:rPr>
        <w:t>IEC</w:t>
      </w:r>
      <w:r>
        <w:rPr>
          <w:rFonts w:eastAsia="Calibri"/>
          <w:sz w:val="28"/>
          <w:szCs w:val="28"/>
        </w:rPr>
        <w:t xml:space="preserve"> 62471-2013 «Лампы и ламповые системы. Светобиологическая безопасность». </w:t>
      </w:r>
    </w:p>
    <w:p>
      <w:pPr>
        <w:pStyle w:val="Normal"/>
        <w:autoSpaceDE w:val="false"/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II. Требования энергетической эффективности в отношении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люминесцентных ламп без встроенного пускорегулирующего аппарата, газоразрядных ламп высокого давления, пускорегулирующих аппаратов </w:t>
        <w:br/>
        <w:t xml:space="preserve">и светильников для таких ламп (код по Общероссийскому классификатору продукции по видам экономической деятельности ОК 034-2014 </w:t>
        <w:br/>
        <w:t>(КПЕС 2008) 27.40.15)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отношении люминесцентных ламп без встроенного пускорегулирующего аппарата, газоразрядных ламп высокого давления, пускорегулирующих аппаратов и светильников для таких ламп – наличие класса энергетической эффективности «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 xml:space="preserve">» и выше в соответствии </w:t>
        <w:br/>
        <w:t xml:space="preserve">с национальным стандартом Российской Федерации ГОСТ Р 54993-2012 «Лампы бытовые. Показатели энергетической эффективности», с учетом национальных стандартов Российской Федерации ГОСТ Р 54992-2012 «Лампы бытовые. Методы определения энергетической эффективности», </w:t>
        <w:br/>
        <w:t xml:space="preserve">ГОСТ Р 55702-2013 «Источники света электрические. Методы измерений электрических и световых параметров», ГОСТ Р 55703-2013 «Источники света электрические. Методы измерений спектральных и цветовых характеристик», ГОСТ Р МЭК 60081-99 «Лампы люминесцентные двухцокольные. Эксплуатационные требования», ГОСТ </w:t>
      </w:r>
      <w:r>
        <w:rPr>
          <w:rFonts w:eastAsia="Calibri"/>
          <w:sz w:val="28"/>
          <w:szCs w:val="28"/>
          <w:lang w:val="en-US"/>
        </w:rPr>
        <w:t>IEC</w:t>
      </w:r>
      <w:r>
        <w:rPr>
          <w:rFonts w:eastAsia="Calibri"/>
          <w:sz w:val="28"/>
          <w:szCs w:val="28"/>
        </w:rPr>
        <w:t xml:space="preserve"> 62471-2013 «Лампы и ламповые системы. Светобиологическая безопасность», ГОСТ </w:t>
      </w:r>
      <w:r>
        <w:rPr>
          <w:rFonts w:eastAsia="Calibri"/>
          <w:sz w:val="28"/>
          <w:szCs w:val="28"/>
          <w:lang w:val="en-US"/>
        </w:rPr>
        <w:t>IEC</w:t>
      </w:r>
      <w:r>
        <w:rPr>
          <w:rFonts w:eastAsia="Calibri"/>
          <w:sz w:val="28"/>
          <w:szCs w:val="28"/>
        </w:rPr>
        <w:t xml:space="preserve"> 60901-2016 </w:t>
        <w:br/>
        <w:t xml:space="preserve">«Лампы люминисцентные одноцокольные. Эксплуатационные требования», </w:t>
        <w:br/>
        <w:t>ГОСТ Р 53075-2008 (МЭК 61167.1992) «Лампы металлогалогенные. Эксплуатационные требовния».</w:t>
      </w:r>
    </w:p>
    <w:p>
      <w:pPr>
        <w:pStyle w:val="Normal"/>
        <w:autoSpaceDE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III. Требования энергетической эффективности в отношении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ламп направленного света, светодиодных ламп и связанного с ними оборудования (код по Общероссийскому классификатору продукции по видам экономической деятельности ОК 034-2014 (КПЕС 2008) 27.40)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В отношении ламп направленного света, светодиодных ламп и связанного с ними оборудования – наличие класса энергетической эффективности «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 xml:space="preserve">» </w:t>
        <w:br/>
        <w:t xml:space="preserve">и выше в соответствии с национальным стандартом Российской Федерации ГОСТ Р 54993-2012 «Лампы бытовые. Показатели энергетической эффективности», с учетом национальных стандартов Российской Федерации ГОСТ Р 54992-2012 «Лампы бытовые. Методы определения энергетической эффективности», ГОСТ Р 55702-2013 «Источники света электрические. </w:t>
        <w:br/>
        <w:t xml:space="preserve">Методы измерений электрических и световых параметров», </w:t>
        <w:br/>
        <w:t xml:space="preserve">ГОСТ Р 55703-2013 «Источники света электрические. Методы измерений спектральных и цветовых характеристик», ГОСТ Р 53879‐2010 </w:t>
        <w:br/>
        <w:t>«Лампы со встроенными пускорегулирующими аппаратами для общего освещения. Эксплуатационные требования», ГОСТ Р 54815-2011/</w:t>
      </w:r>
      <w:r>
        <w:rPr>
          <w:rFonts w:eastAsia="Calibri"/>
          <w:sz w:val="28"/>
          <w:szCs w:val="28"/>
          <w:lang w:val="en-US"/>
        </w:rPr>
        <w:t>IEC</w:t>
      </w:r>
      <w:r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  <w:lang w:val="en-US"/>
        </w:rPr>
        <w:t>PAS</w:t>
      </w:r>
      <w:r>
        <w:rPr>
          <w:rFonts w:eastAsia="Calibri"/>
          <w:sz w:val="28"/>
          <w:szCs w:val="28"/>
        </w:rPr>
        <w:t xml:space="preserve"> 62612:2009 «Лампы светодиодные со встроенным устройством управления </w:t>
        <w:br/>
        <w:t xml:space="preserve">для общего освещения на напряжения свыше 50 В. Эксплуатационные требования», ГОСТ Р 56230-2014/IEC/PAS 62717:2011 «Модули светодиодные для общего освещения. Эксплуатационные требования», </w:t>
        <w:br/>
        <w:t xml:space="preserve">ГОСТ Р МЭК 60357-2012 «Лампы вольфрамовые галогенные </w:t>
        <w:br/>
        <w:t xml:space="preserve">(не для транспортных средств). Эксплуатационные требования», </w:t>
        <w:br/>
        <w:t xml:space="preserve">ГОСТ Р 52706-2007 «Лампы накаливания вольфрамовые для бытового </w:t>
        <w:br/>
        <w:t>и аналогичного общего освещения. Эксплуатационные требования».</w:t>
      </w:r>
    </w:p>
    <w:p>
      <w:pPr>
        <w:pStyle w:val="Normal"/>
        <w:autoSpaceDE w:val="false"/>
        <w:spacing w:lineRule="auto" w:line="36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>. Требования энергетической эффективности в отношении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двигателей электрических асинхронных (код по Общероссийскому классификатору продукции по видам экономической деятельности ОК 034-2014 </w:t>
        <w:br/>
        <w:t>(КПЕС 2008) 27.11.23)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двигателей электрических асинхронных – наличие класса энергетической эффективности не ниже «IE1» в соответствии с национальными стандартами Российской Федерации ГОСТ Р 54413-2011 </w:t>
        <w:br/>
        <w:t xml:space="preserve">«Машины электрические вращающиеся. Часть 30. Классы энергоэффективности односкоростных трехфазных асинхронных двигателей </w:t>
        <w:br/>
        <w:t xml:space="preserve">с короткозамкнутым ротором (код IE)», ГОСТ IEC 60034-30-1-2016 </w:t>
        <w:br/>
        <w:t xml:space="preserve">«Машины электрические вращающиеся. Часть 30-1. Классы КПД двигателей переменного тока, работающих от сети (код </w:t>
      </w:r>
      <w:r>
        <w:rPr>
          <w:rFonts w:eastAsia="Calibri"/>
          <w:sz w:val="28"/>
          <w:szCs w:val="28"/>
          <w:lang w:val="en-US"/>
        </w:rPr>
        <w:t>IE</w:t>
      </w:r>
      <w:r>
        <w:rPr>
          <w:rFonts w:eastAsia="Calibri"/>
          <w:sz w:val="28"/>
          <w:szCs w:val="28"/>
        </w:rPr>
        <w:t xml:space="preserve">)», с учетом национальных стандартов Российской Федерации ГОСТ Р МЭК 60034-2-1-2009 </w:t>
        <w:br/>
        <w:t xml:space="preserve">«Машины электрические вращающиеся. Часть 2-1. Стандартные методы определения потерь и коэффициента полезного действия </w:t>
        <w:br/>
        <w:t xml:space="preserve">вращающихся электрических машин (за исключением машин для подвижного состава)», ГОСТ IEC 60034-2-1-2017 «Машины электрические </w:t>
        <w:br/>
        <w:t xml:space="preserve">вращающиеся. Часть 2-1. Стандартные методы определения </w:t>
        <w:br/>
        <w:t>потерь и коэффициента полезного действия по испытаниям (за исключением машин для подвижного состава)».</w:t>
      </w:r>
    </w:p>
    <w:p>
      <w:pPr>
        <w:pStyle w:val="Normal"/>
        <w:autoSpaceDE w:val="false"/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>. Требования энергетической эффективности в отношении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телевизоров (код по Общероссийскому классификатору продукции по видам экономической деятельности ОК 034-2014 </w:t>
        <w:br/>
        <w:t>(КПЕС 2008) 26.40.20)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В отношении телевизоров — наличие класса энергетической эффективности «А+» и выше в соответствии с национальным </w:t>
        <w:br/>
        <w:t xml:space="preserve">стандартом Российской Федерации ГОСТ 33862-2016 «Энергетическая эффективность. Телевизоры. Показатели энергетической эффективности </w:t>
        <w:br/>
        <w:t xml:space="preserve">и методы определения», с учетом национальных стандартов </w:t>
        <w:br/>
        <w:t xml:space="preserve">Российской Федерации ГОСТ </w:t>
      </w:r>
      <w:r>
        <w:rPr>
          <w:rFonts w:eastAsia="Calibri"/>
          <w:sz w:val="28"/>
          <w:szCs w:val="28"/>
          <w:lang w:val="en-US"/>
        </w:rPr>
        <w:t>IEC</w:t>
      </w:r>
      <w:r>
        <w:rPr>
          <w:rFonts w:eastAsia="Calibri"/>
          <w:sz w:val="28"/>
          <w:szCs w:val="28"/>
        </w:rPr>
        <w:t xml:space="preserve"> 62087-2014 (IEC 62087(2011)) </w:t>
        <w:br/>
        <w:t xml:space="preserve">«Методы измерений потребления энергии аудио-, видеоаппаратурой </w:t>
        <w:br/>
        <w:t xml:space="preserve">и связанным с ней оборудованием», ГОСТ Р МЭК 62087-1-2017 </w:t>
        <w:br/>
        <w:t xml:space="preserve">«Аудио-, видеоаппаратура и связанное с ней оборудование. Определение потребления энергии. Часть 1. Общие положения», ГОСТ Р МЭК 62087-2-2017 «Аудио-, видеоаппаратура и связанное с ней оборудование. Определение потребления энергии. Часть 2. Сигналы и носители информации», </w:t>
        <w:br/>
        <w:t xml:space="preserve">ГОСТ Р МЭК 62087-3-2017 «Аудио-, видеоаппаратура и связанное </w:t>
        <w:br/>
        <w:t>с ней оборудование. Определение потребления энергии. Часть 3. Телевизионные приемники», ГОСТ IEC 62301-2016 «Электроприборы бытовые. Измерение потребляемой мощности в режиме ожидания».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>I. Требования энергетической эффективности в отношении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насосов для воды (код по Общероссийскому классификатору продукции по видам экономической деятельности ОК 034-2014 </w:t>
        <w:br/>
        <w:t>(КПЕС 2008) 28.13)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В отношении насосов для воды – наличие класса энергетической эффективности «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3» и выше в соответствии с национальным стандартом Российской Федерации ГОСТ Р 56624-2015 «Энергетическая эффективность. Погружные лопастные насосы и электродвигатели для добычи нефти. Классы энергоэффективности», с учетом национального стандарта Российской Федерации ГОСТ ISO 9906-2015 «Насосы динамические. Гидравлические испытания. Классы точности 1, 2 и 3»;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наличие класса энергетической эффективности «А» и выше </w:t>
        <w:br/>
        <w:t xml:space="preserve">в соответствии с национальным стандартом Российской Федерации </w:t>
        <w:br/>
        <w:t xml:space="preserve">ГОСТ Р 56477-2015 «Энергетическая эффективность. Насосы автономные бессальниковые циркуляционные. Информирование потребителей </w:t>
        <w:br/>
        <w:t xml:space="preserve">об энергетической эффективности циркуляционных насосов», с учетом национальных стандартов Российской Федерации ГОСТР Р 55155-2012 «Энергетическая эффективность. Насосы автономные бессальниковые циркуляционные и насосы бессальниковые циркуляционные, встроенные </w:t>
        <w:br/>
        <w:t xml:space="preserve">в другие устройства. Методы определения энергетической эффективности», ГОСТ EN 16297-1-2014 «Энергетическая эффективность. Насосы циркуляционные герметичные. Часть 1. Общие требования и методики </w:t>
        <w:br/>
        <w:t xml:space="preserve">для проведения испытаний и расчета индекса энергетической эффективности (ИЭЭ)», ГОСТ EN 16297-2-2014 «Энергетическая эффективность. Насосы циркуляционные герметичные. Часть 2. Расчет индекса энергетической эффективности (ИЭЭ) автономных циркуляционных насосов», </w:t>
        <w:br/>
        <w:t xml:space="preserve">ГОСТ EN 16297-3-2015 «Энергетическая эффективность. Насосы циркуляционные герметичные. Часть 3. Индекс энергетической эффективности (ИЭЭ) циркуляционных насосов, являющихся составной частью других изделий». 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sz w:val="28"/>
          <w:szCs w:val="28"/>
          <w:lang w:val="en-US"/>
        </w:rPr>
        <w:t>VII</w:t>
      </w:r>
      <w:r>
        <w:rPr>
          <w:rFonts w:eastAsia="Calibri"/>
          <w:sz w:val="28"/>
          <w:szCs w:val="28"/>
        </w:rPr>
        <w:t>. Требования энергетической эффективности в отношении</w:t>
      </w:r>
    </w:p>
    <w:p>
      <w:pPr>
        <w:pStyle w:val="Normal"/>
        <w:autoSpaceDE w:val="fals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кондиционеров воздуха и комнатных вентиляторов (код по Общероссийскому классификатору продукции по видам экономической деятельности ОК 034-2014 </w:t>
        <w:br/>
        <w:t>(КПЕС 2008) 27.51.15.110, 28.25.12)</w:t>
      </w:r>
    </w:p>
    <w:p>
      <w:pPr>
        <w:pStyle w:val="Normal"/>
        <w:autoSpaceDE w:val="false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отношении кондиционеров воздуха и комнатных вентиляторов – наличие класса энергетической эффективности «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» и выше в соответствии </w:t>
        <w:br/>
        <w:t xml:space="preserve">с национальным стандартом Российской Федерации ГОСТ Р 55012-2012 «Энергетическая эффективность. Кондиционеры бытовые и аналогичные. Показатели энергетической эффективности и методы определения», с учетом национальных стандартов Российской Федерации ГОСТ Р 54381-2011 </w:t>
        <w:br/>
        <w:t xml:space="preserve">(ЕН 12900:2006) «Компрессоры холодильные. Условия испытаний </w:t>
        <w:br/>
        <w:t>по определению основных характеристик, допуски и представление данных производителями», ГОСТ Р 54539-2011 «Кондиционеры, агрегатированные охладители жидкости и тепловые насосы с компрессорами с электроприводом для обогрева и охлаждения помещений. Методы испытаний функциональных характеристик».</w:t>
      </w:r>
    </w:p>
    <w:p>
      <w:pPr>
        <w:pStyle w:val="Normal"/>
        <w:autoSpaceDE w:val="false"/>
        <w:spacing w:lineRule="auto" w: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autoSpaceDE w:val="false"/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sectPr>
      <w:headerReference w:type="default" r:id="rId5"/>
      <w:headerReference w:type="first" r:id="rId6"/>
      <w:type w:val="nextPage"/>
      <w:pgSz w:w="11906" w:h="16838"/>
      <w:pgMar w:left="1701" w:right="567" w:header="709" w:top="851" w:footer="0" w:bottom="992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ucida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LineNumbering">
    <w:name w:val="Line Numbering"/>
    <w:rPr/>
  </w:style>
  <w:style w:type="character" w:styleId="Style16">
    <w:name w:val="Верхний колонтитул Знак"/>
    <w:qFormat/>
    <w:rPr>
      <w:rFonts w:eastAsia="Times New Roman"/>
      <w:sz w:val="24"/>
      <w:szCs w:val="24"/>
    </w:rPr>
  </w:style>
  <w:style w:type="character" w:styleId="Style17">
    <w:name w:val="Нижний колонтитул Знак"/>
    <w:qFormat/>
    <w:rPr>
      <w:rFonts w:eastAsia="Times New Roman"/>
      <w:sz w:val="24"/>
      <w:szCs w:val="24"/>
    </w:rPr>
  </w:style>
  <w:style w:type="character" w:styleId="Style18">
    <w:name w:val="Знак примечания"/>
    <w:qFormat/>
    <w:rPr>
      <w:sz w:val="16"/>
      <w:szCs w:val="16"/>
    </w:rPr>
  </w:style>
  <w:style w:type="character" w:styleId="Style19">
    <w:name w:val="Текст примечания Знак"/>
    <w:qFormat/>
    <w:rPr>
      <w:rFonts w:eastAsia="Times New Roman"/>
    </w:rPr>
  </w:style>
  <w:style w:type="character" w:styleId="Style20">
    <w:name w:val="Тема примечания Знак"/>
    <w:qFormat/>
    <w:rPr>
      <w:rFonts w:eastAsia="Times New Roman"/>
      <w:b/>
      <w:b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2">
    <w:name w:val="Текст примечания"/>
    <w:basedOn w:val="Normal"/>
    <w:qFormat/>
    <w:pPr/>
    <w:rPr>
      <w:sz w:val="20"/>
      <w:szCs w:val="20"/>
    </w:rPr>
  </w:style>
  <w:style w:type="paragraph" w:styleId="Style23">
    <w:name w:val="Тема примечания"/>
    <w:basedOn w:val="Style22"/>
    <w:next w:val="Style22"/>
    <w:qFormat/>
    <w:pPr/>
    <w:rPr>
      <w:b/>
      <w:bCs/>
    </w:rPr>
  </w:style>
  <w:style w:type="paragraph" w:styleId="Style24">
    <w:name w:val="Рецензия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253</TotalTime>
  <Application>LibreOffice/6.0.7.3.0$Linux_X86_64 LibreOffice_project/00m0$Build-3</Application>
  <Pages>8</Pages>
  <Words>1246</Words>
  <Characters>9643</Characters>
  <CharactersWithSpaces>10945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2019-03-06T14:13:00Z</dcterms:created>
  <dc:creator>Привалова Алла Николаевна</dc:creator>
  <dc:description/>
  <cp:keywords/>
  <dc:language>en-GB</dc:language>
  <cp:lastModifiedBy>Федулов Станислав Святославович</cp:lastModifiedBy>
  <cp:lastPrinted>2018-12-17T14:13:00Z</cp:lastPrinted>
  <dcterms:modified xsi:type="dcterms:W3CDTF">2019-08-05T14:14:00Z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1. Приказ об утв. требований энергоэффективности 1221.doc</vt:lpwstr>
  </property>
  <property fmtid="{D5CDD505-2E9C-101B-9397-08002B2CF9AE}" pid="3" name="#RegDocId">
    <vt:lpwstr>Исх. Письмо № Вр-5383299_x0000__x0000__x0000_</vt:lpwstr>
  </property>
  <property fmtid="{D5CDD505-2E9C-101B-9397-08002B2CF9AE}" pid="4" name="FileDocId">
    <vt:lpwstr>{39FA2A90-D8AF-4045-A78B-280B3E2D86ED}_x0000_</vt:lpwstr>
  </property>
  <property fmtid="{D5CDD505-2E9C-101B-9397-08002B2CF9AE}" pid="5" name="RegDocId">
    <vt:lpwstr>{C944776A-2C3E-49D9-A28B-E6A6982623F9}_x0000_</vt:lpwstr>
  </property>
</Properties>
</file>