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Доверенность № 356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г. Санкт-Петербург                                                                             10 марта 2017 г.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“Рассвет” (Российская Федерация, </w:t>
        <w:br w:type="textWrapping"/>
        <w:t xml:space="preserve">г. Санкт-Петербург, ул. Петра Первого, ОГРН 2451367891012, ИНН 7834567890, КПП 780674720) в лице Генерального директора Ивана Ивановича Иванова (далее - Общество), действующий на основании Устава Общества настоящей доверенностью </w:t>
      </w:r>
      <w:r w:rsidDel="00000000" w:rsidR="00000000" w:rsidRPr="00000000">
        <w:rPr>
          <w:b w:val="1"/>
          <w:rtl w:val="0"/>
        </w:rPr>
        <w:t xml:space="preserve">уполномочивает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Петра Петровича Петрова (28.07.1976 года рождения, паспорт гражданина РФ 0811 серия 456734, выдан отделом УФМС России по адмиралтейскому району в </w:t>
        <w:br w:type="textWrapping"/>
        <w:t xml:space="preserve">г. Санкт-Петербург, зарегистрирован по адресу: г. Санкт-Петербург, ул. Краснопутиловская д. 121 кв. 25.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быть представителем в АО “Банк”, для получения банковской гарантии № 4567392 </w:t>
        <w:br w:type="textWrapping"/>
        <w:t xml:space="preserve">от 23 марта 2017 для ООО “Рассвет”.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выполнения указанных действий Петру Петровичу Петрову предоставляется право подписывать документы, связанные с выполнением этого поручения.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Настоящая доверенность выдана сроком до 31 декабря 2017, без права передоверия.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Подпись _________________ удостоверяю.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Генеральный директор</w:t>
      </w:r>
      <w:r w:rsidDel="00000000" w:rsidR="00000000" w:rsidRPr="00000000">
        <w:rPr>
          <w:rtl w:val="0"/>
        </w:rPr>
        <w:t xml:space="preserve">                                                            </w:t>
      </w:r>
      <w:r w:rsidDel="00000000" w:rsidR="00000000" w:rsidRPr="00000000">
        <w:rPr>
          <w:b w:val="1"/>
          <w:rtl w:val="0"/>
        </w:rPr>
        <w:t xml:space="preserve">___________ И.И. Иванов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